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2025电子信息科学与技术（光子计划院士班）-光学工程本博融通培养方案（领军人才班适用）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2023级增设光子计划-信息科技领军人才班，有十个院士团队从本科一年级开始指导，2024级改名为光子计划院士班。</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301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1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笔试科目：固体的光学性质，现代光学设计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876800"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76800" cy="1642533"/>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1、专业进阶路径：170学分</w:t>
      </w:r>
    </w:p>
    <w:p>
      <w:pPr>
        <w:spacing w:after="0"/>
        <w:ind w:left="0"/>
        <w:jc w:val="left"/>
      </w:pPr>
      <w:r>
        <w:rPr>
          <w:rFonts w:ascii="SimSun" w:hAnsi="SimSun"/>
          <w:b w:val="false"/>
          <w:i w:val="false"/>
          <w:color w:val="000000"/>
          <w:sz w:val="21"/>
        </w:rPr>
        <w:t xml:space="preserve">  本路径学生本博期间必须修满教学计划规定的170学分，包括通识教育课程44学分、专业培养课程67学分、专业进阶I修读24学分（研究生课程不少于18学分）、专业进阶II修读14学分（研究生课程不少于8学分）、融合创新能力培养模块21学分的修读。</w:t>
      </w:r>
    </w:p>
    <w:p>
      <w:pPr>
        <w:spacing w:after="0"/>
        <w:ind w:left="0"/>
        <w:jc w:val="left"/>
      </w:pPr>
      <w:r>
        <w:rPr>
          <w:rFonts w:ascii="SimSun" w:hAnsi="SimSun"/>
          <w:b w:val="false"/>
          <w:i w:val="false"/>
          <w:color w:val="000000"/>
          <w:sz w:val="21"/>
        </w:rPr>
        <w:t xml:space="preserve">  其中，本科学段需要完成149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42学分、专业培养课程67学分、专业进阶模块修读24学分、融合创新能力培养16学分。</w:t>
      </w:r>
    </w:p>
    <w:p>
      <w:pPr>
        <w:spacing w:after="0"/>
        <w:ind w:left="0"/>
        <w:jc w:val="left"/>
      </w:pPr>
      <w:r>
        <w:rPr>
          <w:rFonts w:ascii="SimSun" w:hAnsi="SimSun"/>
          <w:b w:val="false"/>
          <w:i w:val="false"/>
          <w:color w:val="000000"/>
          <w:sz w:val="21"/>
        </w:rPr>
        <w:t>2、荣誉项目：176学分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3、跨学科发展路径：185学分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4、电子信息科学与技术+AI人工智能双学士学位项目：213学分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达到博士学位要求者授予光学工程工学博士学位，基本要求如下：</w:t>
      </w:r>
    </w:p>
    <w:p>
      <w:pPr>
        <w:spacing w:after="0"/>
        <w:ind w:left="0"/>
        <w:jc w:val="left"/>
      </w:pPr>
      <w:r>
        <w:rPr>
          <w:rFonts w:ascii="SimSun" w:hAnsi="SimSun"/>
          <w:b w:val="false"/>
          <w:i w:val="false"/>
          <w:color w:val="000000"/>
          <w:sz w:val="21"/>
        </w:rPr>
        <w:t xml:space="preserve"> （1）申请人提出学位论文答辩申请时，必须已修满学校规定的学分数，完成所有必修环节；所有课程成绩合格，其中学位课程平均绩点不低于2.5。</w:t>
      </w:r>
    </w:p>
    <w:p>
      <w:pPr>
        <w:spacing w:after="0"/>
        <w:ind w:left="0"/>
        <w:jc w:val="left"/>
      </w:pPr>
      <w:r>
        <w:rPr>
          <w:rFonts w:ascii="SimSun" w:hAnsi="SimSun"/>
          <w:b w:val="false"/>
          <w:i w:val="false"/>
          <w:color w:val="000000"/>
          <w:sz w:val="21"/>
        </w:rPr>
        <w:t>（2）通过科研活动，取得经同行评议认可的创新性成果，满足本学科博士学位授予标准。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博士学位论文以外，还必须取得经同行评议认可的创新性成果，如在同行评议的高质量学术期刊上公开发表论文、或其他形式的经过同行评议认可的高质量学术成果，该成果是学位论文主要内容，且符合以下A、B、C条件之一：</w:t>
      </w:r>
    </w:p>
    <w:p>
      <w:pPr>
        <w:spacing w:after="0"/>
        <w:ind w:left="0"/>
        <w:jc w:val="left"/>
      </w:pPr>
      <w:r>
        <w:rPr>
          <w:rFonts w:ascii="SimSun" w:hAnsi="SimSun"/>
          <w:b w:val="false"/>
          <w:i w:val="false"/>
          <w:color w:val="000000"/>
          <w:sz w:val="21"/>
        </w:rPr>
        <w:t xml:space="preserve">  A. 博士期间科研成果达到导师要求，且第一单位发表或录用论文符合以下条件之一：</w:t>
      </w:r>
    </w:p>
    <w:p>
      <w:pPr>
        <w:spacing w:after="0"/>
        <w:ind w:left="0"/>
        <w:jc w:val="left"/>
      </w:pPr>
      <w:r>
        <w:rPr>
          <w:rFonts w:ascii="SimSun" w:hAnsi="SimSun"/>
          <w:b w:val="false"/>
          <w:i w:val="false"/>
          <w:color w:val="000000"/>
          <w:sz w:val="21"/>
        </w:rPr>
        <w:t xml:space="preserve">    a)1篇1作1区期刊论文；</w:t>
      </w:r>
    </w:p>
    <w:p>
      <w:pPr>
        <w:spacing w:after="0"/>
        <w:ind w:left="0"/>
        <w:jc w:val="left"/>
      </w:pPr>
      <w:r>
        <w:rPr>
          <w:rFonts w:ascii="SimSun" w:hAnsi="SimSun"/>
          <w:b w:val="false"/>
          <w:i w:val="false"/>
          <w:color w:val="000000"/>
          <w:sz w:val="21"/>
        </w:rPr>
        <w:t xml:space="preserve">    b)1篇1作2区期刊论文+1篇1作2-3区期刊论文；</w:t>
      </w:r>
    </w:p>
    <w:p>
      <w:pPr>
        <w:spacing w:after="0"/>
        <w:ind w:left="0"/>
        <w:jc w:val="left"/>
      </w:pPr>
      <w:r>
        <w:rPr>
          <w:rFonts w:ascii="SimSun" w:hAnsi="SimSun"/>
          <w:b w:val="false"/>
          <w:i w:val="false"/>
          <w:color w:val="000000"/>
          <w:sz w:val="21"/>
        </w:rPr>
        <w:t xml:space="preserve">    c)1篇1作2区期刊论文+1篇第二共一作1区期刊论文。</w:t>
      </w:r>
    </w:p>
    <w:p>
      <w:pPr>
        <w:spacing w:after="0"/>
        <w:ind w:left="0"/>
        <w:jc w:val="left"/>
      </w:pPr>
      <w:r>
        <w:rPr>
          <w:rFonts w:ascii="SimSun" w:hAnsi="SimSun"/>
          <w:b w:val="false"/>
          <w:i w:val="false"/>
          <w:color w:val="000000"/>
          <w:sz w:val="21"/>
        </w:rPr>
        <w:t xml:space="preserve">  B.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C.博士期间作出其他重要学术成果等特殊贡献，在论文送审前由导师向学位分委员会提出申请，由学位分委员会进行认定。   </w:t>
      </w:r>
    </w:p>
    <w:p>
      <w:pPr>
        <w:spacing w:after="0"/>
        <w:ind w:left="0"/>
        <w:jc w:val="left"/>
      </w:pPr>
      <w:r>
        <w:rPr>
          <w:rFonts w:ascii="SimSun" w:hAnsi="SimSun"/>
          <w:b w:val="false"/>
          <w:i w:val="false"/>
          <w:color w:val="000000"/>
          <w:sz w:val="21"/>
        </w:rPr>
        <w:t>2. 第二学段主动退出和博士生资格考核不合格退出本博融通计划的学生，如达到光学工程硕士学位要求者授予工学硕士学位，具体要求：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（1）申请人提出学位论文答辩申请时，必须已修满学校规定的学分数，完成所有必修环节；所有课程成绩合格，其中学位课程平均绩点原则上不低于2.5。</w:t>
      </w:r>
    </w:p>
    <w:p>
      <w:pPr>
        <w:spacing w:after="0"/>
        <w:ind w:left="0"/>
        <w:jc w:val="left"/>
      </w:pPr>
      <w:r>
        <w:rPr>
          <w:rFonts w:ascii="SimSun" w:hAnsi="SimSun"/>
          <w:b w:val="false"/>
          <w:i w:val="false"/>
          <w:color w:val="000000"/>
          <w:sz w:val="21"/>
        </w:rPr>
        <w:t>（2）通过科研活动，取得经同行评议认可的创新性成果，满足本学科硕士学位授予标准。</w:t>
      </w:r>
    </w:p>
    <w:p>
      <w:pPr>
        <w:spacing w:after="0"/>
        <w:ind w:left="0"/>
        <w:jc w:val="left"/>
      </w:pPr>
      <w:r>
        <w:rPr>
          <w:rFonts w:ascii="SimSun" w:hAnsi="SimSun"/>
          <w:b w:val="false"/>
          <w:i w:val="false"/>
          <w:color w:val="000000"/>
          <w:sz w:val="21"/>
        </w:rPr>
        <w:t>（3）完成学位论文，并通过学位论文评阅（包括盲审）要求。</w:t>
      </w:r>
    </w:p>
    <w:p>
      <w:pPr>
        <w:spacing w:after="0"/>
        <w:ind w:left="0"/>
        <w:jc w:val="left"/>
      </w:pPr>
      <w:r>
        <w:rPr>
          <w:rFonts w:ascii="SimSun" w:hAnsi="SimSun"/>
          <w:b w:val="false"/>
          <w:i w:val="false"/>
          <w:color w:val="000000"/>
          <w:sz w:val="21"/>
        </w:rPr>
        <w:t>（4）通过学位论文答辩，通过学院学位评定委员会和学校学位评定委员会审议。</w:t>
      </w:r>
    </w:p>
    <w:p>
      <w:pPr>
        <w:spacing w:after="0"/>
        <w:ind w:left="0"/>
        <w:jc w:val="left"/>
      </w:pPr>
      <w:r>
        <w:rPr>
          <w:rFonts w:ascii="SimSun" w:hAnsi="SimSun"/>
          <w:b w:val="false"/>
          <w:i w:val="false"/>
          <w:color w:val="000000"/>
          <w:sz w:val="21"/>
        </w:rPr>
        <w:t>（5）基于学位论文工作的研究，要求申请人在申请学位时，除提交硕士学位论文以外，还必须取得经同行评议认可的创新性研究成果，如在同行评议的较高质量学术期刊上公开发表学术论文、或其它形式的经过同行评议认可的较高质量学术成果，该成果是学位论文主要内容，且符合以下A、B条件之一：</w:t>
      </w:r>
    </w:p>
    <w:p>
      <w:pPr>
        <w:spacing w:after="0"/>
        <w:ind w:left="0"/>
        <w:jc w:val="left"/>
      </w:pPr>
      <w:r>
        <w:rPr>
          <w:rFonts w:ascii="SimSun" w:hAnsi="SimSun"/>
          <w:b w:val="false"/>
          <w:i w:val="false"/>
          <w:color w:val="000000"/>
          <w:sz w:val="21"/>
        </w:rPr>
        <w:t xml:space="preserve">  A.硕士期间科研成果达到导师要求，且第一单位发表或录用论文符合以下条件：1篇1作（或导师第一学生第二）A类或1-4区期刊论文。</w:t>
      </w:r>
    </w:p>
    <w:p>
      <w:pPr>
        <w:spacing w:after="0"/>
        <w:ind w:left="0"/>
        <w:jc w:val="left"/>
      </w:pPr>
      <w:r>
        <w:rPr>
          <w:rFonts w:ascii="SimSun" w:hAnsi="SimSun"/>
          <w:b w:val="false"/>
          <w:i w:val="false"/>
          <w:color w:val="000000"/>
          <w:sz w:val="21"/>
        </w:rPr>
        <w:t xml:space="preserve">  B.硕士期间作出其他重要学术成果等特殊贡献，论文送审前由导师向学位分委员会提出申请，由学位分委员会进行认定。</w:t>
      </w:r>
    </w:p>
    <w:p>
      <w:pPr>
        <w:spacing w:after="0"/>
        <w:ind w:left="0"/>
        <w:jc w:val="left"/>
      </w:pPr>
      <w:r>
        <w:rPr>
          <w:rFonts w:ascii="SimSun" w:hAnsi="SimSun"/>
          <w:b w:val="false"/>
          <w:i w:val="false"/>
          <w:color w:val="000000"/>
          <w:sz w:val="21"/>
        </w:rPr>
        <w:t xml:space="preserve">  注：期刊分区依据投稿当年或发表当年的《中国科学院文献情报中心期刊分区表》。A类期刊依据“中国光学工程学会关于《光学工程和光学领域高质量科技期刊分级目录》”（光工学字〔2022〕19号）中所列期刊清单（分级T1-T3），详见本学科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融合的核心课程为基础建立了本研融通的专业核心课程体系，以学科领域为横、课程内容梯度为纵建立了难度逐级提升的本研融通的专业进阶课程体系。为鼓励学生挑战自我，电子信息与光电信息方向各自设立了10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GESS10001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（67学分,本科要求67学分）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（37学分,本科要求37学分）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w:t>
            </w:r>
            <w:r>
              <w:br/>
            </w:r>
            <w:r>
              <w:br/>
            </w:r>
            <w:r>
              <w:rPr>
                <w:rFonts w:ascii="SimSun" w:hAnsi="SimSun"/>
                <w:b w:val="false"/>
                <w:i w:val="false"/>
                <w:color w:val="000000"/>
                <w:sz w:val="21"/>
              </w:rPr>
              <w:t>Semiconductor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光电信号检测原理与技术</w:t>
            </w:r>
            <w:r>
              <w:br/>
            </w:r>
            <w:r>
              <w:br/>
            </w:r>
            <w:r>
              <w:rPr>
                <w:rFonts w:ascii="SimSun" w:hAnsi="SimSun"/>
                <w:b w:val="false"/>
                <w:i w:val="false"/>
                <w:color w:val="000000"/>
                <w:sz w:val="21"/>
              </w:rPr>
              <w:t>Principles and Technologies of Optoelectronic Signal Detection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量子与统计</w:t>
            </w:r>
            <w:r>
              <w:br/>
            </w:r>
            <w:r>
              <w:br/>
            </w:r>
            <w:r>
              <w:rPr>
                <w:rFonts w:ascii="SimSun" w:hAnsi="SimSun"/>
                <w:b w:val="false"/>
                <w:i w:val="false"/>
                <w:color w:val="000000"/>
                <w:sz w:val="21"/>
              </w:rPr>
              <w:t>Quantum Mechanics and Statistical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24学分（研究生课程不少于18学分）、专业进阶模块II修读14学分（研究生课程不少于8学分）。专业进阶模块I若有多修读学分，其可替代专业进阶模块II学分。进阶I中所选择的领域与方向必须与进阶II中所选择的领域与方向一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现代光学设计</w:t>
            </w:r>
            <w:r>
              <w:br/>
            </w:r>
            <w:r>
              <w:br/>
            </w:r>
            <w:r>
              <w:rPr>
                <w:rFonts w:ascii="SimSun" w:hAnsi="SimSun"/>
                <w:b w:val="false"/>
                <w:i w:val="false"/>
                <w:color w:val="000000"/>
                <w:sz w:val="21"/>
              </w:rPr>
              <w:t>Modern Optical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资格考试科目（两门课只计一门）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Modern Optical Design</w:t>
            </w:r>
            <w:r>
              <w:br/>
            </w:r>
            <w:r>
              <w:br/>
            </w:r>
            <w:r>
              <w:rPr>
                <w:rFonts w:ascii="SimSun" w:hAnsi="SimSun"/>
                <w:b w:val="false"/>
                <w:i w:val="false"/>
                <w:color w:val="000000"/>
                <w:sz w:val="21"/>
              </w:rPr>
              <w:t>Modern Optical Design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资格考试科目（两门课只计一门）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这两门课程只计一门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这两门课程只计一门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研究生选修课程</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现代光学仪器系统设计</w:t>
            </w:r>
            <w:r>
              <w:br/>
            </w:r>
            <w:r>
              <w:br/>
            </w:r>
            <w:r>
              <w:rPr>
                <w:rFonts w:ascii="SimSun" w:hAnsi="SimSun"/>
                <w:b w:val="false"/>
                <w:i w:val="false"/>
                <w:color w:val="000000"/>
                <w:sz w:val="21"/>
              </w:rPr>
              <w:t>Modern Optical Instrument System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现代光学显微技术及应用</w:t>
            </w:r>
            <w:r>
              <w:br/>
            </w:r>
            <w:r>
              <w:br/>
            </w:r>
            <w:r>
              <w:rPr>
                <w:rFonts w:ascii="SimSun" w:hAnsi="SimSun"/>
                <w:b w:val="false"/>
                <w:i w:val="false"/>
                <w:color w:val="000000"/>
                <w:sz w:val="21"/>
              </w:rPr>
              <w:t>Modern optical microscopy: technology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偏振光学原理与应用</w:t>
            </w:r>
            <w:r>
              <w:br/>
            </w:r>
            <w:r>
              <w:br/>
            </w:r>
            <w:r>
              <w:rPr>
                <w:rFonts w:ascii="SimSun" w:hAnsi="SimSun"/>
                <w:b w:val="false"/>
                <w:i w:val="false"/>
                <w:color w:val="000000"/>
                <w:sz w:val="21"/>
              </w:rPr>
              <w:t>Principles and Applications of Polarized Light</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OPTI50035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修读荣誉课程不低于24学分（不少于6门课），且满足专业进阶模块I修读24学分（研究生课程不少于18学分）、专业进阶模块II修读14学分（研究生课程不少于8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融合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光学实验A</w:t>
            </w:r>
            <w:r>
              <w:br/>
            </w:r>
            <w:r>
              <w:br/>
            </w:r>
            <w:r>
              <w:rPr>
                <w:rFonts w:ascii="SimSun" w:hAnsi="SimSun"/>
                <w:b w:val="false"/>
                <w:i w:val="false"/>
                <w:color w:val="000000"/>
                <w:sz w:val="21"/>
              </w:rPr>
              <w:t>Experiments in Optics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在“光电研究前沿讲座”，“物理电子学前沿讲座”（EST70028），“智能电子与系统前沿技术”（EST70060）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1.研究生学段必须完成2个学期全岗的本科生课程助教。指导老师评价为合格方为通过。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