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2025经济学（数理经济方向）专业本博融通培养方案（长水计划）（普通本科生）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院历史悠久，师资雄厚，学科体系完备，是享誉海内外的经济学研究重镇，理论经济学和应用经济学两个一级学科分别是教育部A+学科和国家“双一流”学科。数理经济拔尖班创立于2005年，汇聚了学院最优秀的师资和学生，培养了一大批在国内外顶级高校和机构任职的精英人才，被誉为复旦大学的“经济学家摇篮”。</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项目依托教育部基础学科拔尖学生培养计划2.0经济学拔尖学生培养基地，按照“宽口径、厚基础、重能力、求创新”的人才培养要求，以“2+X+Y”为人才培养途径（2是通识和专业教育，X是多元发展路径，Y为融合创新能力），培养学生具备敏锐的问题意识、扎实的经济学理论功底、前沿的数理和量化分析能力，为在国内外顶尖高校攻读相关博士学位、成为世界一流的经济学家打下坚实的基础。</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55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557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2025年经济学（数理经济方向）专业本博融通管理细则，可参考《复旦大学经济学院拔尖学生培养工作方案（2025年9月试行）》</w:t>
      </w:r>
      <w:r>
        <w:rPr>
          <w:rFonts w:ascii="SimSun" w:hAnsi="SimSun"/>
          <w:b/>
          <w:i w:val="false"/>
          <w:color w:val="000000"/>
          <w:sz w:val="21"/>
        </w:rPr>
        <w:t>。</w:t>
      </w: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第6学期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面试内容：荣誉课程学习情况、综合评价（竞赛、比赛、科研实践情况及经济学志趣等内容）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第10学期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资格考核包含笔试和面试两部分，考核时间安排在第10学期初。笔试部分：每位同学必须参加高级宏观经济学、高级微观经济学、高级计量经济学三门课程的考核。考试成绩按百分制计分，每门课程考试时间为2小时。
面试部分：学院统一组织面试工作，考核专家组由学院分管领导担任组长，专家组成员不少于3人，从以下四个方面进行考核：       1.修读学位必修课程及平均绩点；2.参加校内学术活动情况；3.科研学术训练经历及相关成果；4.在学期间德智体美劳及思想政治表现。                                                      博士资格考核总成绩=三门课程笔试总分按百分制折算*50%+面试成绩*50%。                                                  符合以下任一种情况为首次考核结果不通过。即1.总成绩没有达到60分为“不通过”；2.如果所有参加资格考试的同学都达到60或60分以上，则总成绩排名在末位为“不通过”。对首次考核结果不通过的同学可有一次补考机会，补考时间安排在第10学期末。详见培养规定</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经济学院本科“2+X”培养方案（按退出时点确定合适的培养方案）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经济学院专硕培养方案（可选）</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第2学期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面试内容：荣誉课程学习情况、综合评价（竞赛、比赛、科研实践情况及经济学志趣等内容）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经济学（数理经济方向）</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77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经济学博士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873"/>
        <w:gridCol w:w="1873"/>
        <w:gridCol w:w="1873"/>
        <w:gridCol w:w="1873"/>
        <w:gridCol w:w="1874"/>
        <w:gridCol w:w="1874"/>
        <w:gridCol w:w="1880"/>
        <w:gridCol w:w="1880"/>
        <w:gridCol w:w="1880"/>
        <w:gridCol w:w="1886"/>
        <w:gridCol w:w="1894"/>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专业进阶路径：162学分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本路径学生本博期间必须修满教学计划规定的164学分，包括通识教育课程41学分、专业培养课程77学分、专业进阶I修读18学分、专业进阶II修读12学分、融合创新能力培养模块16学分的修读。</w:t>
            </w:r>
            <w:r>
              <w:br/>
            </w:r>
            <w:r>
              <w:br/>
            </w:r>
            <w:r>
              <w:rPr>
                <w:rFonts w:ascii="SimSun" w:hAnsi="SimSun"/>
                <w:b w:val="false"/>
                <w:i w:val="false"/>
                <w:color w:val="000000"/>
                <w:sz w:val="21"/>
              </w:rPr>
              <w:t xml:space="preserve">      其中，本科学段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39学分、专业培养课程77学分、专业进阶模块修读18学分、融合创新能力培养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2、本科荣誉项目</w:t>
            </w:r>
          </w:p>
        </w:tc>
      </w:tr>
      <w:tr>
        <w:trPr>
          <w:trHeight w:val="325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在专业进阶路径基础上，修读荣誉课程不少于5门课。荣誉项目课程设置和修读要求请见经济学院“荣誉项目”实施方案。下载地址：https://jwc.fudan.edu.cn/（复旦大学教务处）专业培养-常用文档。</w:t>
            </w:r>
          </w:p>
        </w:tc>
      </w:tr>
    </w:tbl>
    <w:p>
      <w:pPr>
        <w:spacing w:after="0"/>
        <w:ind w:left="0"/>
        <w:jc w:val="left"/>
      </w:pPr>
      <w:r>
        <w:rPr>
          <w:rFonts w:ascii="SimSun" w:hAnsi="SimSun"/>
          <w:b/>
          <w:i w:val="false"/>
          <w:color w:val="000000"/>
          <w:sz w:val="24"/>
        </w:rPr>
        <w:t xml:space="preserve">
       六.    学位要求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667"/>
        <w:gridCol w:w="1673"/>
        <w:gridCol w:w="1673"/>
        <w:gridCol w:w="1679"/>
        <w:gridCol w:w="1679"/>
        <w:gridCol w:w="1679"/>
        <w:gridCol w:w="1686"/>
        <w:gridCol w:w="1686"/>
        <w:gridCol w:w="1686"/>
        <w:gridCol w:w="1686"/>
        <w:gridCol w:w="168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4年级结束时，如达到学士学位要求者理授予经济学学士学位。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（3）在此基础上，达到经济学院“荣誉证书”获得条件的授予“荣誉证书”，具体要求请见经济学院“荣誉项目”实施方案。</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本科学段主动退出和转段考核不合格退出本博融通计划的学生，则按照经济学院本科“2+X+Y”培养方案（根据退出时点确定合适的培养方案），如达到学士学位要求者授予经济学学士学位。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（二）研究生学位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达到博士学位要求者授予经济学博士学位。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（2）复旦大学经济学院博士学位申请人在攻读学位期间必须发表符合一定数量和质量要求的学术论文，具体要求说明如下：</w:t>
            </w:r>
            <w:r>
              <w:br/>
            </w:r>
            <w:r>
              <w:br/>
            </w:r>
            <w:r>
              <w:rPr>
                <w:rFonts w:ascii="SimSun" w:hAnsi="SimSun"/>
                <w:b w:val="false"/>
                <w:i w:val="false"/>
                <w:color w:val="000000"/>
                <w:sz w:val="21"/>
              </w:rPr>
              <w:t>1.至少在《复旦大学经济学院经济学学位与研究生教育期刊指导目录》B 类期刊上发表（含录用）2 篇专业学术论文；在 A 类期刊上发表一篇文章可相当于在 B 类期刊上发表2 篇文章；或者，由经济学学位评定分委会通过的其它跨一级或综合类期刊目录上发表的专业学术论文、以及在海外学术刊物上发表的专业学术论文。</w:t>
            </w:r>
            <w:r>
              <w:br/>
            </w:r>
            <w:r>
              <w:br/>
            </w:r>
            <w:r>
              <w:rPr>
                <w:rFonts w:ascii="SimSun" w:hAnsi="SimSun"/>
                <w:b w:val="false"/>
                <w:i w:val="false"/>
                <w:color w:val="000000"/>
                <w:sz w:val="21"/>
              </w:rPr>
              <w:t xml:space="preserve">2.申请博士学位发表论文要求作者排名第一（特殊情况除外）。特殊情况包括：（1）第一作者为导师，第二作者为学位申请人；（2）在国外学术刊物上用外文发表且所发刊物符合经济学学位评定分委会要求的学术论文，申请博士学位的申请人排名须符合以下任一条：①按姓氏英文字母顺序排名，其他作者皆证明学位申请人为共同第一作者，可用于一位作者申请学位；若属于学院外文奖励期刊目录中 B 档，最多可用于两位作者申请学位；若属于学院外文奖励期刊目录中 A 或 A-档，最多可用于三位作者申请学位。②不按姓氏英文字母顺序排名，学位申请人为第一作者或第一作者为导师、第二作者为学位申请人；（3）已投稿于学院外文奖励期刊目录中 A 或 A-档期刊处于修改后提交（R&amp;R）阶段、且没有被拒稿的论文，与在上述期刊上正式刊发的论文等同。                                                                                  </w:t>
            </w:r>
            <w:r>
              <w:br/>
            </w:r>
            <w:r>
              <w:br/>
            </w:r>
            <w:r>
              <w:rPr>
                <w:rFonts w:ascii="SimSun" w:hAnsi="SimSun"/>
                <w:b w:val="false"/>
                <w:i w:val="false"/>
                <w:color w:val="000000"/>
                <w:sz w:val="21"/>
              </w:rPr>
              <w:t>3. 用于申请学位的学术论文，第一作者单位应署复旦大学。</w:t>
            </w:r>
            <w:r>
              <w:br/>
            </w:r>
            <w:r>
              <w:br/>
            </w:r>
            <w:r>
              <w:rPr>
                <w:rFonts w:ascii="SimSun" w:hAnsi="SimSun"/>
                <w:b w:val="false"/>
                <w:i w:val="false"/>
                <w:color w:val="000000"/>
                <w:sz w:val="21"/>
              </w:rPr>
              <w:t>4.在有关期刊的增刊上发表论文不予以认可。</w:t>
            </w:r>
          </w:p>
        </w:tc>
      </w:tr>
      <w:tr>
        <w:trPr>
          <w:trHeight w:val="937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2、8年级及以后,自愿退出博士培养项目或无法达到博士学位授予条件，按照科学硕士学位授予要求予以审核。</w:t>
            </w:r>
          </w:p>
        </w:tc>
      </w:tr>
    </w:tbl>
    <w:p>
      <w:pPr>
        <w:spacing w:after="0"/>
        <w:ind w:left="0"/>
        <w:jc w:val="left"/>
      </w:pPr>
      <w:r>
        <w:rPr>
          <w:rFonts w:ascii="SimSun" w:hAnsi="SimSun"/>
          <w:b/>
          <w:i w:val="false"/>
          <w:color w:val="000000"/>
          <w:sz w:val="24"/>
        </w:rPr>
        <w:t xml:space="preserve">
       七.    课程体系与科研训练体系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319"/>
        <w:gridCol w:w="2319"/>
        <w:gridCol w:w="2320"/>
        <w:gridCol w:w="2320"/>
        <w:gridCol w:w="2320"/>
        <w:gridCol w:w="2320"/>
        <w:gridCol w:w="2320"/>
        <w:gridCol w:w="2320"/>
        <w:gridCol w:w="2320"/>
        <w:gridCol w:w="2320"/>
        <w:gridCol w:w="2321"/>
      </w:tblGrid>
      <w:tr>
        <w:trPr>
          <w:trHeight w:val="67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11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8门高难度、大学分的荣誉课程，6门高难度、两阶段的“三高”课程（高微、高宏、高计）为基础建立了本研融通的专业核心课程体系，以学科领域为横、课程内容梯度为纵建立了难度逐级提升的本研融通的专业进阶课程体系。为鼓励学生挑战自我，数理基础和方法模块设立多门AI等交叉融合必修课程，夯实数理基础，提升分析能力。</w:t>
            </w:r>
          </w:p>
        </w:tc>
      </w:tr>
      <w:tr>
        <w:trPr>
          <w:trHeight w:val="67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11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科阶段，1、2年级设立走进经济学系列讲座和中国经济学系列讲座，引导学生认识经济学、喜欢经济学；激发学生对经济学科的兴趣，培养实践能力。3、4年级通过完成科研实践、创新实践、学术实践和社会实践等，激发创新志趣，引导学生洞察现实，参加导师（组）讨论班，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tc>
      </w:tr>
    </w:tbl>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p>
    <w:p>
      <w:pPr>
        <w:spacing w:after="0"/>
        <w:ind w:left="0"/>
        <w:jc w:val="left"/>
      </w:pP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（41学分,本科要求39学分）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1.通识教育核心课程（28学分）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七大模块课程6学分（七大模块6学分中每模块最多修读1门课，回避第四模块“社会研究与当代中国”，即修读第四模块课程将不计入七大模块学分中）。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（13学分,本科要求13学分）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 专项教育课程（13学分）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要求修读13学分。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（77学分,本科要求77学分）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数学类基础课程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（52学分,本科要求52学分）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（26学分,本科要求26学分）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公司金融(H)</w:t>
            </w:r>
            <w:r>
              <w:br/>
            </w:r>
            <w:r>
              <w:br/>
            </w:r>
            <w:r>
              <w:rPr>
                <w:rFonts w:ascii="SimSun" w:hAnsi="SimSun"/>
                <w:b w:val="false"/>
                <w:i w:val="false"/>
                <w:color w:val="000000"/>
                <w:sz w:val="21"/>
              </w:rPr>
              <w:t>Corporate Finance(H)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（26学分,本科要求26学分）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统计（机器）学习概论</w:t>
            </w:r>
            <w:r>
              <w:br/>
            </w:r>
            <w:r>
              <w:br/>
            </w:r>
            <w:r>
              <w:rPr>
                <w:rFonts w:ascii="SimSun" w:hAnsi="SimSun"/>
                <w:b w:val="false"/>
                <w:i w:val="false"/>
                <w:color w:val="000000"/>
                <w:sz w:val="21"/>
              </w:rPr>
              <w:t>Introduction to Statistical Learning and Machine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（12学分,本科要求12学分）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方法模块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理论模块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应用模块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高级计量经济学</w:t>
            </w:r>
            <w:r>
              <w:br/>
            </w:r>
            <w:r>
              <w:br/>
            </w:r>
            <w:r>
              <w:rPr>
                <w:rFonts w:ascii="SimSun" w:hAnsi="SimSun"/>
                <w:b w:val="false"/>
                <w:i w:val="false"/>
                <w:color w:val="000000"/>
                <w:sz w:val="21"/>
              </w:rPr>
              <w:t>Advanced 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高级微观经济学（II）</w:t>
            </w:r>
            <w:r>
              <w:br/>
            </w:r>
            <w:r>
              <w:br/>
            </w:r>
            <w:r>
              <w:rPr>
                <w:rFonts w:ascii="SimSun" w:hAnsi="SimSun"/>
                <w:b w:val="false"/>
                <w:i w:val="false"/>
                <w:color w:val="000000"/>
                <w:sz w:val="21"/>
              </w:rPr>
              <w:t>Advanced Microeconomics(II)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高级计量经济学（Ⅱ）</w:t>
            </w:r>
            <w:r>
              <w:br/>
            </w:r>
            <w:r>
              <w:br/>
            </w:r>
            <w:r>
              <w:rPr>
                <w:rFonts w:ascii="SimSun" w:hAnsi="SimSun"/>
                <w:b w:val="false"/>
                <w:i w:val="false"/>
                <w:color w:val="000000"/>
                <w:sz w:val="21"/>
              </w:rPr>
              <w:t>Advanced Econometrics(Ⅱ)</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高级宏观经济学（II）</w:t>
            </w:r>
            <w:r>
              <w:br/>
            </w:r>
            <w:r>
              <w:br/>
            </w:r>
            <w:r>
              <w:rPr>
                <w:rFonts w:ascii="SimSun" w:hAnsi="SimSun"/>
                <w:b w:val="false"/>
                <w:i w:val="false"/>
                <w:color w:val="000000"/>
                <w:sz w:val="21"/>
              </w:rPr>
              <w:t>Advanced Macroeconomics(II)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ECON60015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理工核心课程池</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数据科学的逼近论基础</w:t>
            </w:r>
            <w:r>
              <w:br/>
            </w:r>
            <w:r>
              <w:br/>
            </w:r>
            <w:r>
              <w:rPr>
                <w:rFonts w:ascii="SimSun" w:hAnsi="SimSun"/>
                <w:b w:val="false"/>
                <w:i w:val="false"/>
                <w:color w:val="000000"/>
                <w:sz w:val="21"/>
              </w:rPr>
              <w:t>Approximation Theory in Data Sciences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化学</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生物</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普通生物学实验</w:t>
            </w:r>
            <w:r>
              <w:br/>
            </w:r>
            <w:r>
              <w:br/>
            </w:r>
            <w:r>
              <w:rPr>
                <w:rFonts w:ascii="SimSun" w:hAnsi="SimSun"/>
                <w:b w:val="false"/>
                <w:i w:val="false"/>
                <w:color w:val="000000"/>
                <w:sz w:val="21"/>
              </w:rPr>
              <w:t>Experiment of General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GEEC10037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微电子</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模拟电子线路</w:t>
            </w:r>
            <w:r>
              <w:br/>
            </w:r>
            <w:r>
              <w:br/>
            </w:r>
            <w:r>
              <w:rPr>
                <w:rFonts w:ascii="SimSun" w:hAnsi="SimSun"/>
                <w:b w:val="false"/>
                <w:i w:val="false"/>
                <w:color w:val="000000"/>
                <w:sz w:val="21"/>
              </w:rPr>
              <w:t>Analog Circuit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Digital Logic Foundation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①在学期间要参加学校老师(包括导师)的科研活动，训练搜集整理数据能力和协助科研能力，活动确认由导师签字认可；②参加至少5场学院的公开学术讲座。③以报告人身份至少参加2次本学科领域的高水平会议。④导师推荐学员到世界一流水平的境外高校进行不少于一学年的学习、研究或联合培养。</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至少承担两门次研究生课程的助教，并有导师签字确认。</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通过资格考试的博士生方可进行论文开题，一般应在通过资格考试一年内完成开题。每位博士生开题答辩汇报时间一般不少于30分钟。答辩专家组由不少于 5 位具有正高级职称专家、或博士生指导教师组成。开题答辩由专人负责记录。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开题通过满6个月的博士生方可参加中期考核，一般应在通过开题一年内完成中期考核。每位博士生中期考核汇报时间一般不少于30分钟。答辩专家组原则上由参加开题的答辩专家组成，由不少于 5 位具有正高级职称专家、或博士生指导教师组成。答辩专家组听取博士生个人汇报，并有专人负责记录。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期考核通过的博士生方可申请参加博士学位论文预审，博士生应在学位论文提交送审前至少6个月完成预审。每位博士生预答辩汇报时间一般不少于30分钟。预答辩专家组由不少于3位具有正高级职称专家、或博士生指导教师组成。预答辩由专人负责记录。根据学校有关重要通知，经济学院学术学位硕士、专业学位硕士、博士研究生学位论文预答辩环节中，学生个人的导师信息不列入其学位论文预答辩小组或委员会成员名单之中。</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