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2025材料化学专业-未来能源方向本博融通培养方案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材料化学”专业强调化学、材料科学与工程、能源技术、人工智能等多学科领域的深度交叉与协同创新，培养先进材料化学领域的专业人才，为促进新材料产业升级和化学化工领域的科技创新提供坚实的人才保障。</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未来能源领域领军人才。培养掌握基础知识和专业实验技能，能开展以基础研究为先导的工程应用、具备强化大团队协作以及重视全过程的系统集成的工科思维，能保障国家重大战略需求的科学家和工程师复合型人才。培养具有扎实的数学、物理、化学、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的基础理论、基本知识和基本实验技能，并在科学研究、技术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按照《智能材料与未来能源创新学院博士研究生必修环节实施细则》实行考核</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材料化学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按照智能材料与未来能源创新学院本科“2+X+Y”培养方案审核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按照本硕融通培养方案进行毕业审核或按照硕士培养方案进行毕业审核</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550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2624667"/>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专业进阶路径：163学分</w:t>
      </w:r>
    </w:p>
    <w:p>
      <w:pPr>
        <w:spacing w:after="0"/>
        <w:ind w:left="0"/>
        <w:jc w:val="left"/>
      </w:pPr>
      <w:r>
        <w:rPr>
          <w:rFonts w:ascii="SimSun" w:hAnsi="SimSun"/>
          <w:b w:val="false"/>
          <w:i w:val="false"/>
          <w:color w:val="000000"/>
          <w:sz w:val="21"/>
        </w:rPr>
        <w:t>本路径学生本博期间必须修满教学计划规定的163学分，包括通识教育课程44学分、专业培养课程61学分、专业进阶I修读24学分、专业进阶II修读16学分（专业进阶模块I若有多修读学分，其可替代专业进阶模块II学分）、融合创新能力培养模块18学分的修读。</w:t>
      </w:r>
    </w:p>
    <w:p>
      <w:pPr>
        <w:spacing w:after="0"/>
        <w:ind w:left="0"/>
        <w:jc w:val="left"/>
      </w:pPr>
      <w:r>
        <w:rPr>
          <w:rFonts w:ascii="SimSun" w:hAnsi="SimSun"/>
          <w:b w:val="false"/>
          <w:i w:val="false"/>
          <w:color w:val="000000"/>
          <w:sz w:val="21"/>
        </w:rPr>
        <w:t>2. 荣誉项目路径：169学分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跨学科发展路径：178学分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在专业进阶路径或荣誉项目基础上，修读1个非本专业独立开设的学程15学分（可在研究生学段完成修读），具体要求见教务处学程实施方案。</w:t>
      </w:r>
    </w:p>
    <w:p>
      <w:pPr>
        <w:spacing w:after="0"/>
        <w:ind w:left="0"/>
        <w:jc w:val="left"/>
      </w:pPr>
      <w:r>
        <w:rPr>
          <w:rFonts w:ascii="SimSun" w:hAnsi="SimSun"/>
          <w:b w:val="false"/>
          <w:i w:val="false"/>
          <w:color w:val="000000"/>
          <w:sz w:val="21"/>
        </w:rPr>
        <w:t>4. 创新创业路径：178学分</w:t>
      </w:r>
    </w:p>
    <w:p>
      <w:pPr>
        <w:spacing w:after="0"/>
        <w:ind w:left="0"/>
        <w:jc w:val="left"/>
      </w:pPr>
      <w:r>
        <w:rPr>
          <w:rFonts w:ascii="SimSun" w:hAnsi="SimSun"/>
          <w:b w:val="false"/>
          <w:i w:val="false"/>
          <w:color w:val="000000"/>
          <w:sz w:val="21"/>
        </w:rPr>
        <w:t>满足专业进阶路径的同时，要求修读1个创新创业学院开设的创新创业学程。学程课程详见教务处学程项目网页，请访问复旦大学教务处网站获取。</w:t>
      </w:r>
    </w:p>
    <w:p>
      <w:pPr>
        <w:spacing w:after="0"/>
        <w:ind w:left="0"/>
        <w:jc w:val="left"/>
      </w:pPr>
      <w:r>
        <w:rPr>
          <w:rFonts w:ascii="SimSun" w:hAnsi="SimSun"/>
          <w:b w:val="false"/>
          <w:i w:val="false"/>
          <w:color w:val="000000"/>
          <w:sz w:val="21"/>
        </w:rPr>
        <w:t>5. 辅修学士学位路径：187学分</w:t>
      </w:r>
    </w:p>
    <w:p>
      <w:pPr>
        <w:spacing w:after="0"/>
        <w:ind w:left="0"/>
        <w:jc w:val="left"/>
      </w:pPr>
      <w:r>
        <w:rPr>
          <w:rFonts w:ascii="SimSun" w:hAnsi="SimSun"/>
          <w:b w:val="false"/>
          <w:i w:val="false"/>
          <w:color w:val="000000"/>
          <w:sz w:val="21"/>
        </w:rPr>
        <w:t>至少修读专业进阶模块I（24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val="false"/>
          <w:i w:val="false"/>
          <w:color w:val="000000"/>
          <w:sz w:val="21"/>
        </w:rPr>
        <w:t>2.本科学段主动退出和转段考核不合格退出本博融通计划的学生，需按照智能材料与未来能源创新学院本科2+X+Y培养方案修读课程，如达到学士学位要求者授予学士学位。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1.达到博士学位要求者授予博士学位。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（2）博士学位论文要求见智能材料与未来能源创新学院各专业的博士学位授予标准。</w:t>
      </w:r>
    </w:p>
    <w:p>
      <w:pPr>
        <w:spacing w:after="0"/>
        <w:ind w:left="0"/>
        <w:jc w:val="left"/>
      </w:pPr>
      <w:r>
        <w:rPr>
          <w:rFonts w:ascii="SimSun" w:hAnsi="SimSun"/>
          <w:b w:val="false"/>
          <w:i w:val="false"/>
          <w:color w:val="000000"/>
          <w:sz w:val="21"/>
        </w:rPr>
        <w:t>2.研究生学段主动退出和博士生资格考核不合格退出本博融通计划的学生，需按照智能材料与未来能源创新学院硕士培养方案修读课程，如达到硕士学位要求者授予硕士学位。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（2）硕士学位论文要求见智能材料与未来能源创新学院各专业的硕士学位授予标准。</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及荣誉课程为基础，建立本研融通的专业课程体系，以学科领域为横、课程内容梯度为纵建立了难度逐级提升的本研融通的专业进阶课程体系。课程设计涵盖数理化核心课程、专业核心课程、多模块进阶和本研融通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设立学科前沿导论课程，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（61学分,本科要求61学分）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（34学分,本科要求34学分）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未来能源前沿</w:t>
            </w:r>
            <w:r>
              <w:br/>
            </w:r>
            <w:r>
              <w:br/>
            </w:r>
            <w:r>
              <w:rPr>
                <w:rFonts w:ascii="SimSun" w:hAnsi="SimSun"/>
                <w:b w:val="false"/>
                <w:i w:val="false"/>
                <w:color w:val="000000"/>
                <w:sz w:val="21"/>
              </w:rPr>
              <w:t>Frontiers in Future Energy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修满40学分。要求在本专业专业进阶模块I修读24学分、专业进阶模块II修读16学分。专业进阶模块I若有多修读学分，其可替代专业进阶模块II学分。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高分子化学A</w:t>
            </w:r>
            <w:r>
              <w:br/>
            </w:r>
            <w:r>
              <w:br/>
            </w:r>
            <w:r>
              <w:rPr>
                <w:rFonts w:ascii="SimSun" w:hAnsi="SimSun"/>
                <w:b w:val="false"/>
                <w:i w:val="false"/>
                <w:color w:val="000000"/>
                <w:sz w:val="21"/>
              </w:rPr>
              <w:t>Polymer Chemistry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w:t>
            </w:r>
            <w:r>
              <w:br/>
            </w:r>
            <w:r>
              <w:br/>
            </w:r>
            <w:r>
              <w:rPr>
                <w:rFonts w:ascii="SimSun" w:hAnsi="SimSun"/>
                <w:b w:val="false"/>
                <w:i w:val="false"/>
                <w:color w:val="000000"/>
                <w:sz w:val="21"/>
              </w:rPr>
              <w:t>Polymer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高分子反应工程</w:t>
            </w:r>
            <w:r>
              <w:br/>
            </w:r>
            <w:r>
              <w:br/>
            </w:r>
            <w:r>
              <w:rPr>
                <w:rFonts w:ascii="SimSun" w:hAnsi="SimSun"/>
                <w:b w:val="false"/>
                <w:i w:val="false"/>
                <w:color w:val="000000"/>
                <w:sz w:val="21"/>
              </w:rPr>
              <w:t>Polymer Reaction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高分子材料化学</w:t>
            </w:r>
            <w:r>
              <w:br/>
            </w:r>
            <w:r>
              <w:br/>
            </w:r>
            <w:r>
              <w:rPr>
                <w:rFonts w:ascii="SimSun" w:hAnsi="SimSun"/>
                <w:b w:val="false"/>
                <w:i w:val="false"/>
                <w:color w:val="000000"/>
                <w:sz w:val="21"/>
              </w:rPr>
              <w:t>Polymer 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高分子材料结构与性能</w:t>
            </w:r>
            <w:r>
              <w:br/>
            </w:r>
            <w:r>
              <w:br/>
            </w:r>
            <w:r>
              <w:rPr>
                <w:rFonts w:ascii="SimSun" w:hAnsi="SimSun"/>
                <w:b w:val="false"/>
                <w:i w:val="false"/>
                <w:color w:val="000000"/>
                <w:sz w:val="21"/>
              </w:rPr>
              <w:t>Structures and Properties of Polymer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材料化学</w:t>
            </w:r>
            <w:r>
              <w:br/>
            </w:r>
            <w:r>
              <w:br/>
            </w:r>
            <w:r>
              <w:rPr>
                <w:rFonts w:ascii="SimSun" w:hAnsi="SimSun"/>
                <w:b w:val="false"/>
                <w:i w:val="false"/>
                <w:color w:val="000000"/>
                <w:sz w:val="21"/>
              </w:rPr>
              <w:t>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材料失效分析</w:t>
            </w:r>
            <w:r>
              <w:br/>
            </w:r>
            <w:r>
              <w:br/>
            </w:r>
            <w:r>
              <w:rPr>
                <w:rFonts w:ascii="SimSun" w:hAnsi="SimSun"/>
                <w:b w:val="false"/>
                <w:i w:val="false"/>
                <w:color w:val="000000"/>
                <w:sz w:val="21"/>
              </w:rPr>
              <w:t>Failure Analysis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纳米材料学</w:t>
            </w:r>
            <w:r>
              <w:br/>
            </w:r>
            <w:r>
              <w:br/>
            </w:r>
            <w:r>
              <w:rPr>
                <w:rFonts w:ascii="SimSun" w:hAnsi="SimSun"/>
                <w:b w:val="false"/>
                <w:i w:val="false"/>
                <w:color w:val="000000"/>
                <w:sz w:val="21"/>
              </w:rPr>
              <w:t>Nano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双语</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能源催化</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新能源材料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锂电池材料</w:t>
            </w:r>
            <w:r>
              <w:br/>
            </w:r>
            <w:r>
              <w:br/>
            </w:r>
            <w:r>
              <w:rPr>
                <w:rFonts w:ascii="SimSun" w:hAnsi="SimSun"/>
                <w:b w:val="false"/>
                <w:i w:val="false"/>
                <w:color w:val="000000"/>
                <w:sz w:val="21"/>
              </w:rPr>
              <w:t>Materials for Lithium Batteries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新型能源材料</w:t>
            </w:r>
            <w:r>
              <w:br/>
            </w:r>
            <w:r>
              <w:br/>
            </w:r>
            <w:r>
              <w:rPr>
                <w:rFonts w:ascii="SimSun" w:hAnsi="SimSun"/>
                <w:b w:val="false"/>
                <w:i w:val="false"/>
                <w:color w:val="000000"/>
                <w:sz w:val="21"/>
              </w:rPr>
              <w:t xml:space="preserve">New Energy Materials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新能源转换材料及应用</w:t>
            </w:r>
            <w:r>
              <w:br/>
            </w:r>
            <w:r>
              <w:br/>
            </w:r>
            <w:r>
              <w:rPr>
                <w:rFonts w:ascii="SimSun" w:hAnsi="SimSun"/>
                <w:b w:val="false"/>
                <w:i w:val="false"/>
                <w:color w:val="000000"/>
                <w:sz w:val="21"/>
              </w:rPr>
              <w:t>New Energy Conversion Materials and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氢能材料与技术</w:t>
            </w:r>
            <w:r>
              <w:br/>
            </w:r>
            <w:r>
              <w:br/>
            </w:r>
            <w:r>
              <w:rPr>
                <w:rFonts w:ascii="SimSun" w:hAnsi="SimSun"/>
                <w:b w:val="false"/>
                <w:i w:val="false"/>
                <w:color w:val="000000"/>
                <w:sz w:val="21"/>
              </w:rPr>
              <w:t>Hydrogen-Based Materials and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气体吸附与分离</w:t>
            </w:r>
            <w:r>
              <w:br/>
            </w:r>
            <w:r>
              <w:br/>
            </w:r>
            <w:r>
              <w:rPr>
                <w:rFonts w:ascii="SimSun" w:hAnsi="SimSun"/>
                <w:b w:val="false"/>
                <w:i w:val="false"/>
                <w:color w:val="000000"/>
                <w:sz w:val="21"/>
              </w:rPr>
              <w:t>Gas Separation by Adsorption Processes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氢能与燃料电池</w:t>
            </w:r>
            <w:r>
              <w:br/>
            </w:r>
            <w:r>
              <w:br/>
            </w:r>
            <w:r>
              <w:rPr>
                <w:rFonts w:ascii="SimSun" w:hAnsi="SimSun"/>
                <w:b w:val="false"/>
                <w:i w:val="false"/>
                <w:color w:val="000000"/>
                <w:sz w:val="21"/>
              </w:rPr>
              <w:t>Hydrogen Energy and Fuel Cells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MASE80001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功能高分子</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聚合物拓扑结构概论</w:t>
            </w:r>
            <w:r>
              <w:br/>
            </w:r>
            <w:r>
              <w:br/>
            </w:r>
            <w:r>
              <w:rPr>
                <w:rFonts w:ascii="SimSun" w:hAnsi="SimSun"/>
                <w:b w:val="false"/>
                <w:i w:val="false"/>
                <w:color w:val="000000"/>
                <w:sz w:val="21"/>
              </w:rPr>
              <w:t>Introduction Polymer Topologies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生物大分子</w:t>
            </w:r>
            <w:r>
              <w:br/>
            </w:r>
            <w:r>
              <w:br/>
            </w:r>
            <w:r>
              <w:rPr>
                <w:rFonts w:ascii="SimSun" w:hAnsi="SimSun"/>
                <w:b w:val="false"/>
                <w:i w:val="false"/>
                <w:color w:val="000000"/>
                <w:sz w:val="21"/>
              </w:rPr>
              <w:t>Biomolecules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高分子流变学与加工</w:t>
            </w:r>
            <w:r>
              <w:br/>
            </w:r>
            <w:r>
              <w:br/>
            </w:r>
            <w:r>
              <w:rPr>
                <w:rFonts w:ascii="SimSun" w:hAnsi="SimSun"/>
                <w:b w:val="false"/>
                <w:i w:val="false"/>
                <w:color w:val="000000"/>
                <w:sz w:val="21"/>
              </w:rPr>
              <w:t>Polymer Rheology and Processing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功能高分子材料</w:t>
            </w:r>
            <w:r>
              <w:br/>
            </w:r>
            <w:r>
              <w:br/>
            </w:r>
            <w:r>
              <w:rPr>
                <w:rFonts w:ascii="SimSun" w:hAnsi="SimSun"/>
                <w:b w:val="false"/>
                <w:i w:val="false"/>
                <w:color w:val="000000"/>
                <w:sz w:val="21"/>
              </w:rPr>
              <w:t>Functional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聚合物材料研究方法</w:t>
            </w:r>
            <w:r>
              <w:br/>
            </w:r>
            <w:r>
              <w:br/>
            </w:r>
            <w:r>
              <w:rPr>
                <w:rFonts w:ascii="SimSun" w:hAnsi="SimSun"/>
                <w:b w:val="false"/>
                <w:i w:val="false"/>
                <w:color w:val="000000"/>
                <w:sz w:val="21"/>
              </w:rPr>
              <w:t>Investigation Methods of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高分子物理（II）</w:t>
            </w:r>
            <w:r>
              <w:br/>
            </w:r>
            <w:r>
              <w:br/>
            </w:r>
            <w:r>
              <w:rPr>
                <w:rFonts w:ascii="SimSun" w:hAnsi="SimSun"/>
                <w:b w:val="false"/>
                <w:i w:val="false"/>
                <w:color w:val="000000"/>
                <w:sz w:val="21"/>
              </w:rPr>
              <w:t>Macromolecular Physics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高性能树脂概述</w:t>
            </w:r>
            <w:r>
              <w:br/>
            </w:r>
            <w:r>
              <w:br/>
            </w:r>
            <w:r>
              <w:rPr>
                <w:rFonts w:ascii="SimSun" w:hAnsi="SimSun"/>
                <w:b w:val="false"/>
                <w:i w:val="false"/>
                <w:color w:val="000000"/>
                <w:sz w:val="21"/>
              </w:rPr>
              <w:t>Outline of High Performance Resins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CTO</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工程伦理与管理</w:t>
            </w:r>
            <w:r>
              <w:br/>
            </w:r>
            <w:r>
              <w:br/>
            </w:r>
            <w:r>
              <w:rPr>
                <w:rFonts w:ascii="SimSun" w:hAnsi="SimSun"/>
                <w:b w:val="false"/>
                <w:i w:val="false"/>
                <w:color w:val="000000"/>
                <w:sz w:val="21"/>
              </w:rPr>
              <w:t>Engineering Ethics and Management</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MCE40003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满足专业进阶路径的同时，要求修读1个创新创业学院开设的创新创业学程。学程课程详见教务处学程项目网页，请访问复旦大学教务处网站https://jwc.fudan.edu.cn/获取。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24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未来能源综合实验Ⅰ</w:t>
            </w:r>
            <w:r>
              <w:br/>
            </w:r>
            <w:r>
              <w:br/>
            </w:r>
            <w:r>
              <w:rPr>
                <w:rFonts w:ascii="SimSun" w:hAnsi="SimSun"/>
                <w:b w:val="false"/>
                <w:i w:val="false"/>
                <w:color w:val="000000"/>
                <w:sz w:val="21"/>
              </w:rPr>
              <w:t>Comprehensive Experiment of Future Energy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未来能源综合实验Ⅱ</w:t>
            </w:r>
            <w:r>
              <w:br/>
            </w:r>
            <w:r>
              <w:br/>
            </w:r>
            <w:r>
              <w:rPr>
                <w:rFonts w:ascii="SimSun" w:hAnsi="SimSun"/>
                <w:b w:val="false"/>
                <w:i w:val="false"/>
                <w:color w:val="000000"/>
                <w:sz w:val="21"/>
              </w:rPr>
              <w:t>Comprehensive Experiment of Future Energy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未来能源综合实验Ⅲ</w:t>
            </w:r>
            <w:r>
              <w:br/>
            </w:r>
            <w:r>
              <w:br/>
            </w:r>
            <w:r>
              <w:rPr>
                <w:rFonts w:ascii="SimSun" w:hAnsi="SimSun"/>
                <w:b w:val="false"/>
                <w:i w:val="false"/>
                <w:color w:val="000000"/>
                <w:sz w:val="21"/>
              </w:rPr>
              <w:t>Comprehensive Experiment of Future Energy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未来能源综合实验Ⅳ</w:t>
            </w:r>
            <w:r>
              <w:br/>
            </w:r>
            <w:r>
              <w:br/>
            </w:r>
            <w:r>
              <w:rPr>
                <w:rFonts w:ascii="SimSun" w:hAnsi="SimSun"/>
                <w:b w:val="false"/>
                <w:i w:val="false"/>
                <w:color w:val="000000"/>
                <w:sz w:val="21"/>
              </w:rPr>
              <w:t>Comprehensive Experiment of Future Energy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