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管理学院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2025会计学-工商管理学本博融通培养方案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会计学系创建于1926年，并于1992年复建，为全国批准设立CPA（注册会计师）专业方向的院校之一，现为国家双一流建设学科、国家级一流本科专业。会计学系以先进的育人理念、雄厚的师资力量、和谐的管理氛围、优质的学术成果等优势被公认为国内最强的会计系科之一。根据美国杨百翰大学对全球会计学研究实力的排名，复旦大学会计学系近三年连续位居中国大陆第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本专业卓研博英班以科研能力，培养为核心培养具备扎实会计基础，以及管理、经济、法律和人工智能等方面的知识和能力，能在企、事业单位及政府部门从事会计实务以及教学、科研方面工作的工商管理学科高级科研人才。</w:t>
      </w:r>
      <w:r>
        <w:br/>
      </w:r>
      <w:r>
        <w:br/>
      </w:r>
      <w:r>
        <w:rPr>
          <w:rFonts w:ascii="SimSun" w:hAnsi="SimSun"/>
          <w:b w:val="false"/>
          <w:i w:val="false"/>
          <w:color w:val="000000"/>
          <w:sz w:val="21"/>
        </w:rPr>
        <w:t xml:space="preserve">    要求学生掌握管理学、经济学和会计学的基本理论、基本知识；掌握会计学的定性、定量分析方法；受到会计方法与技巧方面的基本培训；具有较强的语言与文字表达、人际沟通、信息获取能力及分析解决会计问题的基本能力；熟悉国内外与会计相关的方针、政策和法规及国际会计惯例；熟练掌握一门外语；了解本学科的理论前沿和发展动态；掌握文献检索、资料查询的基本方法；具有较强的科学研究能力和较强的实际工作能力。</w:t>
      </w:r>
      <w:r>
        <w:br/>
      </w:r>
      <w:r>
        <w:br/>
      </w:r>
      <w:r>
        <w:rPr>
          <w:rFonts w:ascii="SimSun" w:hAnsi="SimSun"/>
          <w:b w:val="false"/>
          <w:i w:val="false"/>
          <w:color w:val="000000"/>
          <w:sz w:val="21"/>
        </w:rPr>
        <w:t xml:space="preserve">   本专业致力于培养具有深厚理论基础、创新能力和实践能力的会计学博士生，能够在国家经济管理、资本市场及企业财务决策以及社会创新发展领域，通过高质量的学术研究和专业的决策支持，为推动会计理论与实践的深度融合贡献重要力量。</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742267"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42267"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3年级第2学期 2. 卓博项目/硕博项目夏令营</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 (4~6年级期间有2次申请机会)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笔试科目：英语、专业课一、专业课二</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相对应的科硕培养方案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面试内容：荣誉课程学习情况、综合评价（竞赛、比赛、科研实践情况及本专业科研志趣等内容）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136</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p>
    <w:p>
      <w:pPr>
        <w:spacing w:after="0"/>
        <w:ind w:left="0"/>
        <w:jc w:val="left"/>
      </w:pPr>
      <w:r>
        <w:drawing>
          <wp:inline distT="0" distB="0" distL="0" distR="0">
            <wp:extent cx="3810000" cy="12869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10000" cy="1286933"/>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 xml:space="preserve">1、  本研融通专业进阶路径：157学分                                                                   </w:t>
      </w:r>
    </w:p>
    <w:p>
      <w:pPr>
        <w:spacing w:after="0"/>
        <w:ind w:left="0"/>
        <w:jc w:val="left"/>
      </w:pPr>
      <w:r>
        <w:rPr>
          <w:rFonts w:ascii="SimSun" w:hAnsi="SimSun"/>
          <w:b w:val="false"/>
          <w:i w:val="false"/>
          <w:color w:val="000000"/>
          <w:sz w:val="21"/>
        </w:rPr>
        <w:t xml:space="preserve">    本路径学生本博期间必须修满教学计划规定的157学分，包括通识教育课程44学分、专业培养课程61学分、专业进阶模37学分、融合创新能力模块15学分的修读。</w:t>
      </w:r>
    </w:p>
    <w:p>
      <w:pPr>
        <w:spacing w:after="0"/>
        <w:ind w:left="0"/>
        <w:jc w:val="left"/>
      </w:pPr>
      <w:r>
        <w:rPr>
          <w:rFonts w:ascii="SimSun" w:hAnsi="SimSun"/>
          <w:b w:val="false"/>
          <w:i w:val="false"/>
          <w:color w:val="000000"/>
          <w:sz w:val="21"/>
        </w:rPr>
        <w:t xml:space="preserve">    其中，本科学段需要完成136学分（含实践学分不低于24学分；含美育学分不少于2学分，其中至少在“美学和艺术史论类”或“艺术鉴赏和评论类”课程中修读1学分，并至少参与一项艺术实践活动；劳动教育不少于32学时，并满足劳动周教育要求），包括通识教育课程44学分、专业培养课程61学分、专业进阶模块修读24学分、融合创新能力模块7学分。                                                                     </w:t>
      </w:r>
    </w:p>
    <w:p>
      <w:pPr>
        <w:spacing w:after="0"/>
        <w:ind w:left="0"/>
        <w:jc w:val="left"/>
      </w:pPr>
      <w:r>
        <w:rPr>
          <w:rFonts w:ascii="SimSun" w:hAnsi="SimSun"/>
          <w:b w:val="false"/>
          <w:i w:val="false"/>
          <w:color w:val="000000"/>
          <w:sz w:val="21"/>
        </w:rPr>
        <w:t xml:space="preserve">2、  本科荣誉项目：158学分                                                                   </w:t>
      </w:r>
    </w:p>
    <w:p>
      <w:pPr>
        <w:spacing w:after="0"/>
        <w:ind w:left="0"/>
        <w:jc w:val="left"/>
      </w:pPr>
      <w:r>
        <w:rPr>
          <w:rFonts w:ascii="SimSun" w:hAnsi="SimSun"/>
          <w:b w:val="false"/>
          <w:i w:val="false"/>
          <w:color w:val="000000"/>
          <w:sz w:val="21"/>
        </w:rPr>
        <w:t xml:space="preserve">   在专业进阶路径基础上，修读荣誉课程不少于8门课。荣誉项目课程设置和修读要求请见管理学院“本科荣誉项目”实施方案。下载地址：https://jwc.fudan.edu.cn/（复旦大学教务处）专业培养-常用文档。                                                                  </w:t>
      </w:r>
    </w:p>
    <w:p>
      <w:pPr>
        <w:spacing w:after="0"/>
        <w:ind w:left="0"/>
        <w:jc w:val="left"/>
      </w:pPr>
      <w:r>
        <w:rPr>
          <w:rFonts w:ascii="SimSun" w:hAnsi="SimSun"/>
          <w:b w:val="false"/>
          <w:i w:val="false"/>
          <w:color w:val="000000"/>
          <w:sz w:val="21"/>
        </w:rPr>
        <w:t xml:space="preserve">3、 跨学科发展路径：172学分                                                               </w:t>
      </w:r>
    </w:p>
    <w:p>
      <w:pPr>
        <w:spacing w:after="0"/>
        <w:ind w:left="0"/>
        <w:jc w:val="left"/>
      </w:pPr>
      <w:r>
        <w:rPr>
          <w:rFonts w:ascii="SimSun" w:hAnsi="SimSun"/>
          <w:b w:val="false"/>
          <w:i w:val="false"/>
          <w:color w:val="000000"/>
          <w:sz w:val="21"/>
        </w:rPr>
        <w:t xml:space="preserve">    在专业进阶路径或荣誉项目基础上，修读1个跨学科学程（微专业）15学分（可在研究生学段修读），具体要求见教务处网站学程实施方案。                                                                  </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numPr>
          <w:ilvl w:val="0"/>
          <w:numId w:val="1"/>
        </w:numPr>
        <w:spacing w:after="0"/>
        <w:jc w:val="left"/>
      </w:pPr>
      <w:r>
        <w:rPr>
          <w:rFonts w:ascii="SimSun" w:hAnsi="SimSun"/>
          <w:b w:val="false"/>
          <w:i w:val="false"/>
          <w:color w:val="000000"/>
          <w:sz w:val="21"/>
        </w:rPr>
        <w:t>4年级结束时，如达到学士学位要求者授予管理学学士学位。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 xml:space="preserve">（2）以符合学生毕业时所在专业教学培养方案规定的所有课程的有效成绩为准计算平均绩点，且此平均绩点大于或等于2.0。                                                                    </w:t>
      </w:r>
    </w:p>
    <w:p>
      <w:pPr>
        <w:numPr>
          <w:ilvl w:val="0"/>
          <w:numId w:val="2"/>
        </w:numPr>
        <w:spacing w:after="0"/>
        <w:jc w:val="left"/>
      </w:pPr>
      <w:r>
        <w:rPr>
          <w:rFonts w:ascii="SimSun" w:hAnsi="SimSun"/>
          <w:b w:val="false"/>
          <w:i w:val="false"/>
          <w:color w:val="000000"/>
          <w:sz w:val="21"/>
        </w:rPr>
        <w:t>本科阶段退出本博融通计划的学生，需按照对应的本科培养方案修读课程，或在此卓研精英班培养方案基础上补充3学分（课程范围为在对应的普通专业培养方案中所存在的不同的大类基础课、学院平台课、该专业必修课），如达到学士学位要求者授予管理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 xml:space="preserve">1、 达到博士学位要求者授予管理学博士学位。                                                                  </w:t>
      </w:r>
    </w:p>
    <w:p>
      <w:pPr>
        <w:spacing w:after="0"/>
        <w:ind w:left="0"/>
        <w:jc w:val="left"/>
      </w:pPr>
      <w:r>
        <w:rPr>
          <w:rFonts w:ascii="SimSun" w:hAnsi="SimSun"/>
          <w:b w:val="false"/>
          <w:i w:val="false"/>
          <w:color w:val="000000"/>
          <w:sz w:val="21"/>
        </w:rPr>
        <w:t xml:space="preserve">（1）必须已修满培养方案规定的学分，所有修读课程成绩合格，其中研究生学位课程平均绩点不低于2.5。                                                                  </w:t>
      </w:r>
    </w:p>
    <w:p>
      <w:pPr>
        <w:spacing w:after="0"/>
        <w:ind w:left="0"/>
        <w:jc w:val="left"/>
      </w:pPr>
      <w:r>
        <w:rPr>
          <w:rFonts w:ascii="SimSun" w:hAnsi="SimSun"/>
          <w:b w:val="false"/>
          <w:i w:val="false"/>
          <w:color w:val="000000"/>
          <w:sz w:val="21"/>
        </w:rPr>
        <w:t>（2）文科专业学位需符合以下条件：</w:t>
      </w:r>
    </w:p>
    <w:p>
      <w:pPr>
        <w:spacing w:after="0"/>
        <w:ind w:left="0"/>
        <w:jc w:val="left"/>
      </w:pPr>
      <w:r>
        <w:rPr>
          <w:rFonts w:ascii="SimSun" w:hAnsi="SimSun"/>
          <w:b w:val="false"/>
          <w:i w:val="false"/>
          <w:color w:val="000000"/>
          <w:sz w:val="21"/>
        </w:rPr>
        <w:t xml:space="preserve"> 根据《复旦大学管理学院研究生发表学术论文相关规定》，博士研究生至少在《复旦大学管理学院学位与研究生教育期刊指导目录》发表(含录用)2篇B类或1篇A类，与学位论文内容相关的学术论文。此外，进入《复旦大学管理学院学位与研究生教育期刊指导目录》国际 A-及以上期刊、国内A+期刊第二轮审稿人盲审，学位申请人为第一作者或导师一作本人二作，署名为复旦大学，并经导师同意的学术论文，可以视为A类发文用以学位申请。</w:t>
      </w:r>
    </w:p>
    <w:p>
      <w:pPr>
        <w:spacing w:after="0"/>
        <w:ind w:left="0"/>
        <w:jc w:val="left"/>
      </w:pPr>
      <w:r>
        <w:rPr>
          <w:rFonts w:ascii="SimSun" w:hAnsi="SimSun"/>
          <w:b w:val="false"/>
          <w:i w:val="false"/>
          <w:color w:val="000000"/>
          <w:sz w:val="21"/>
        </w:rPr>
        <w:t xml:space="preserve">  (3）“卓博学员”在研究生学段的课程成绩、科研成果、学位论文等方面综合表现优秀的，经院系评估、推荐和学校审核，毕业时由学校授予“卓博学者”称号。</w:t>
      </w:r>
    </w:p>
    <w:p>
      <w:pPr>
        <w:spacing w:after="0"/>
        <w:ind w:left="0"/>
        <w:jc w:val="left"/>
      </w:pPr>
    </w:p>
    <w:p>
      <w:pPr>
        <w:spacing w:after="0"/>
        <w:ind w:left="0"/>
        <w:jc w:val="left"/>
      </w:pPr>
      <w:r>
        <w:rPr>
          <w:rFonts w:ascii="SimSun" w:hAnsi="SimSun"/>
          <w:b w:val="false"/>
          <w:i w:val="false"/>
          <w:color w:val="000000"/>
          <w:sz w:val="21"/>
        </w:rPr>
        <w:t>2、研究生学段主动退出和博士生资格考核不合格退出本博融通计划的学生，需按照本专业本硕融通培养方案修读课程，如达到硕士学位要求者授予管理学硕士学位。</w:t>
      </w:r>
    </w:p>
    <w:p>
      <w:pPr>
        <w:spacing w:after="0"/>
        <w:ind w:left="0"/>
        <w:jc w:val="left"/>
      </w:pPr>
      <w:r>
        <w:rPr>
          <w:rFonts w:ascii="SimSun" w:hAnsi="SimSun"/>
          <w:b w:val="false"/>
          <w:i w:val="false"/>
          <w:color w:val="000000"/>
          <w:sz w:val="21"/>
        </w:rPr>
        <w:t>（1）必须已修满培养方案规定的学分，所有修读课程成绩合格，其中研究生学位课程平均绩点不低于2.5。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（2）鼓励但不要求必须发表学术论文。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843867" cy="1811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43867" cy="1811867"/>
                    </a:xfrm>
                    <a:prstGeom prst="rect">
                      <a:avLst/>
                    </a:prstGeom>
                  </pic:spPr>
                </pic:pic>
              </a:graphicData>
            </a:graphic>
          </wp:inline>
        </w:drawing>
      </w:r>
    </w:p>
    <w:p>
      <w:pPr>
        <w:spacing w:after="0"/>
        <w:ind w:left="0"/>
        <w:jc w:val="left"/>
      </w:pPr>
      <w:r>
        <w:rPr>
          <w:rFonts w:ascii="SimSun" w:hAnsi="SimSun"/>
          <w:b w:val="false"/>
          <w:i w:val="false"/>
          <w:color w:val="000000"/>
          <w:sz w:val="21"/>
        </w:rPr>
        <w:t>注：上图供参考，以课程列表为准。</w:t>
      </w:r>
    </w:p>
    <w:p>
      <w:pPr>
        <w:spacing w:after="0"/>
        <w:ind w:left="0"/>
        <w:jc w:val="left"/>
      </w:pPr>
    </w:p>
    <w:p>
      <w:pPr>
        <w:spacing w:after="0"/>
        <w:ind w:left="0"/>
        <w:jc w:val="left"/>
      </w:pPr>
      <w:r>
        <w:rPr>
          <w:rFonts w:ascii="SimSun" w:hAnsi="SimSun"/>
          <w:b w:val="false"/>
          <w:i w:val="false"/>
          <w:color w:val="000000"/>
          <w:sz w:val="21"/>
        </w:rPr>
        <w:t xml:space="preserve">       1.课程体系                                                                   </w:t>
      </w:r>
    </w:p>
    <w:p>
      <w:pPr>
        <w:spacing w:after="0"/>
        <w:ind w:left="0"/>
        <w:jc w:val="left"/>
      </w:pPr>
      <w:r>
        <w:rPr>
          <w:rFonts w:ascii="SimSun" w:hAnsi="SimSun"/>
          <w:b w:val="false"/>
          <w:i w:val="false"/>
          <w:color w:val="000000"/>
          <w:sz w:val="21"/>
        </w:rPr>
        <w:t xml:space="preserve">    以10多门高难度课程为基础建立了本研融通的专业核心课程体系，以学科领域为横、课程内容梯度为纵建立了难度逐级提升的本研融通的专业进阶课程体系。鼓励学生修读荣誉课程。                                                                     </w:t>
      </w:r>
    </w:p>
    <w:p>
      <w:pPr>
        <w:spacing w:after="0"/>
        <w:ind w:left="0"/>
        <w:jc w:val="left"/>
      </w:pPr>
      <w:r>
        <w:rPr>
          <w:rFonts w:ascii="SimSun" w:hAnsi="SimSun"/>
          <w:b w:val="false"/>
          <w:i w:val="false"/>
          <w:color w:val="000000"/>
          <w:sz w:val="21"/>
        </w:rPr>
        <w:t xml:space="preserve">    2.科研训练体系                                                                   </w:t>
      </w:r>
    </w:p>
    <w:p>
      <w:pPr>
        <w:spacing w:after="0"/>
        <w:ind w:left="0"/>
        <w:jc w:val="left"/>
      </w:pPr>
      <w:r>
        <w:rPr>
          <w:rFonts w:ascii="SimSun" w:hAnsi="SimSun"/>
          <w:b w:val="false"/>
          <w:i w:val="false"/>
          <w:color w:val="000000"/>
          <w:sz w:val="21"/>
        </w:rPr>
        <w:t xml:space="preserve">    建立螺旋递进的全周期科研训练体系，配备全员导师，鼓励师生共创，通过复芏计划等项目引导学生在“做中学、学中悟、悟中创”。设立无学分讨论班，引导学生早进课题组轮转，培育兴趣。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          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读要求：I类通识核心课程，修满28学分（其中思想政治理论课19学分，研究生政治课程2学分，七大模块6学分。七大模块6学分中每模块最多修读1门课，回避第四模块“社会研究与当代中国”，即修读第四模块课程将不计入七大模块学分中, 以及国家安全教育1学分）；II类通识专项教育课程，修满16学分,并且“人工智能教学专项”修读B1类课程（面向理工医类），不能修读B2类课程（面向文科类）。课程设置详见核心课程七大模块。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学生应在大类基础课程中修满25学分，修满社会科学类课程（必修管理学院开设的“数学分析AI”、“数学分析AII”、“微观经济学*”、“宏观经济学*”、“会计学*”、“管理学理导论*”和“线性代数I”）。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线性代数Ⅰ</w:t>
            </w:r>
            <w:r>
              <w:br/>
            </w:r>
            <w:r>
              <w:br/>
            </w:r>
            <w:r>
              <w:rPr>
                <w:rFonts w:ascii="SimSun" w:hAnsi="SimSun"/>
                <w:b w:val="false"/>
                <w:i w:val="false"/>
                <w:color w:val="000000"/>
                <w:sz w:val="21"/>
              </w:rPr>
              <w:t>Linear Algebra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管理学导论</w:t>
            </w:r>
            <w:r>
              <w:br/>
            </w:r>
            <w:r>
              <w:br/>
            </w:r>
            <w:r>
              <w:rPr>
                <w:rFonts w:ascii="SimSun" w:hAnsi="SimSun"/>
                <w:b w:val="false"/>
                <w:i w:val="false"/>
                <w:color w:val="000000"/>
                <w:sz w:val="21"/>
              </w:rPr>
              <w:t>Introduction to Management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Python编程基础与数据分析入门</w:t>
            </w:r>
            <w:r>
              <w:br/>
            </w:r>
            <w:r>
              <w:br/>
            </w:r>
            <w:r>
              <w:rPr>
                <w:rFonts w:ascii="SimSun" w:hAnsi="SimSun"/>
                <w:b w:val="false"/>
                <w:i w:val="false"/>
                <w:color w:val="000000"/>
                <w:sz w:val="21"/>
              </w:rPr>
              <w:t>Introduction to Data Analysis with Python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商业与技术伦理学</w:t>
            </w:r>
            <w:r>
              <w:br/>
            </w:r>
            <w:r>
              <w:br/>
            </w:r>
            <w:r>
              <w:rPr>
                <w:rFonts w:ascii="SimSun" w:hAnsi="SimSun"/>
                <w:b w:val="false"/>
                <w:i w:val="false"/>
                <w:color w:val="000000"/>
                <w:sz w:val="21"/>
              </w:rPr>
              <w:t>Business and Technology Ethics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财务管理</w:t>
            </w:r>
            <w:r>
              <w:br/>
            </w:r>
            <w:r>
              <w:br/>
            </w:r>
            <w:r>
              <w:rPr>
                <w:rFonts w:ascii="SimSun" w:hAnsi="SimSun"/>
                <w:b w:val="false"/>
                <w:i w:val="false"/>
                <w:color w:val="000000"/>
                <w:sz w:val="21"/>
              </w:rPr>
              <w:t>Financial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管理信息系统</w:t>
            </w:r>
            <w:r>
              <w:br/>
            </w:r>
            <w:r>
              <w:br/>
            </w:r>
            <w:r>
              <w:rPr>
                <w:rFonts w:ascii="SimSun" w:hAnsi="SimSun"/>
                <w:b w:val="false"/>
                <w:i w:val="false"/>
                <w:color w:val="000000"/>
                <w:sz w:val="21"/>
              </w:rPr>
              <w:t>Management Information Systems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STAT20012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营销管理</w:t>
            </w:r>
            <w:r>
              <w:br/>
            </w:r>
            <w:r>
              <w:br/>
            </w:r>
            <w:r>
              <w:rPr>
                <w:rFonts w:ascii="SimSun" w:hAnsi="SimSun"/>
                <w:b w:val="false"/>
                <w:i w:val="false"/>
                <w:color w:val="000000"/>
                <w:sz w:val="21"/>
              </w:rPr>
              <w:t>Marketing Management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A组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中级财务会计</w:t>
            </w:r>
            <w:r>
              <w:br/>
            </w:r>
            <w:r>
              <w:br/>
            </w:r>
            <w:r>
              <w:rPr>
                <w:rFonts w:ascii="SimSun" w:hAnsi="SimSun"/>
                <w:b w:val="false"/>
                <w:i w:val="false"/>
                <w:color w:val="000000"/>
                <w:sz w:val="21"/>
              </w:rPr>
              <w:t>Intermediate Financial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成本管理会计</w:t>
            </w:r>
            <w:r>
              <w:br/>
            </w:r>
            <w:r>
              <w:br/>
            </w:r>
            <w:r>
              <w:rPr>
                <w:rFonts w:ascii="SimSun" w:hAnsi="SimSun"/>
                <w:b w:val="false"/>
                <w:i w:val="false"/>
                <w:color w:val="000000"/>
                <w:sz w:val="21"/>
              </w:rPr>
              <w:t>Cost and Management Accounting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审计学</w:t>
            </w:r>
            <w:r>
              <w:br/>
            </w:r>
            <w:r>
              <w:br/>
            </w:r>
            <w:r>
              <w:rPr>
                <w:rFonts w:ascii="SimSun" w:hAnsi="SimSun"/>
                <w:b w:val="false"/>
                <w:i w:val="false"/>
                <w:color w:val="000000"/>
                <w:sz w:val="21"/>
              </w:rPr>
              <w:t>Auditing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高级财务会计</w:t>
            </w:r>
            <w:r>
              <w:br/>
            </w:r>
            <w:r>
              <w:br/>
            </w:r>
            <w:r>
              <w:rPr>
                <w:rFonts w:ascii="SimSun" w:hAnsi="SimSun"/>
                <w:b w:val="false"/>
                <w:i w:val="false"/>
                <w:color w:val="000000"/>
                <w:sz w:val="21"/>
              </w:rPr>
              <w:t>Advanced Financial Accounting</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B组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要求在本专业进阶课程或荣誉课程中修读至少37学分（其中专业进阶I组修读至少15学分，专业进阶II组修读至少9学分,专业进阶III至少13学分）。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必修7学分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AI会计理论与方法</w:t>
            </w:r>
            <w:r>
              <w:br/>
            </w:r>
            <w:r>
              <w:br/>
            </w:r>
            <w:r>
              <w:rPr>
                <w:rFonts w:ascii="SimSun" w:hAnsi="SimSun"/>
                <w:b w:val="false"/>
                <w:i w:val="false"/>
                <w:color w:val="000000"/>
                <w:sz w:val="21"/>
              </w:rPr>
              <w:t>AI in Accounting Theory and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高级微观经济学</w:t>
            </w:r>
            <w:r>
              <w:br/>
            </w:r>
            <w:r>
              <w:br/>
            </w:r>
            <w:r>
              <w:rPr>
                <w:rFonts w:ascii="SimSun" w:hAnsi="SimSun"/>
                <w:b w:val="false"/>
                <w:i w:val="false"/>
                <w:color w:val="000000"/>
                <w:sz w:val="21"/>
              </w:rPr>
              <w:t>Advanced Microeconomics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会计理论专题</w:t>
            </w:r>
            <w:r>
              <w:br/>
            </w:r>
            <w:r>
              <w:br/>
            </w:r>
            <w:r>
              <w:rPr>
                <w:rFonts w:ascii="SimSun" w:hAnsi="SimSun"/>
                <w:b w:val="false"/>
                <w:i w:val="false"/>
                <w:color w:val="000000"/>
                <w:sz w:val="21"/>
              </w:rPr>
              <w:t>Accounting Theory</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BA60002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至少8学分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制度变革与中国资本市场</w:t>
            </w:r>
            <w:r>
              <w:br/>
            </w:r>
            <w:r>
              <w:br/>
            </w:r>
            <w:r>
              <w:rPr>
                <w:rFonts w:ascii="SimSun" w:hAnsi="SimSun"/>
                <w:b w:val="false"/>
                <w:i w:val="false"/>
                <w:color w:val="000000"/>
                <w:sz w:val="21"/>
              </w:rPr>
              <w:t>Institutional Reform and China's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实证会计研究</w:t>
            </w:r>
            <w:r>
              <w:br/>
            </w:r>
            <w:r>
              <w:br/>
            </w:r>
            <w:r>
              <w:rPr>
                <w:rFonts w:ascii="SimSun" w:hAnsi="SimSun"/>
                <w:b w:val="false"/>
                <w:i w:val="false"/>
                <w:color w:val="000000"/>
                <w:sz w:val="21"/>
              </w:rPr>
              <w:t>Empirical Research in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解析会计研究</w:t>
            </w:r>
            <w:r>
              <w:br/>
            </w:r>
            <w:r>
              <w:br/>
            </w:r>
            <w:r>
              <w:rPr>
                <w:rFonts w:ascii="SimSun" w:hAnsi="SimSun"/>
                <w:b w:val="false"/>
                <w:i w:val="false"/>
                <w:color w:val="000000"/>
                <w:sz w:val="21"/>
              </w:rPr>
              <w:t>Analytical Accounting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税收与资本市场</w:t>
            </w:r>
            <w:r>
              <w:br/>
            </w:r>
            <w:r>
              <w:br/>
            </w:r>
            <w:r>
              <w:rPr>
                <w:rFonts w:ascii="SimSun" w:hAnsi="SimSun"/>
                <w:b w:val="false"/>
                <w:i w:val="false"/>
                <w:color w:val="000000"/>
                <w:sz w:val="21"/>
              </w:rPr>
              <w:t>Tax and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管理会计与审计专题研究</w:t>
            </w:r>
            <w:r>
              <w:br/>
            </w:r>
            <w:r>
              <w:br/>
            </w:r>
            <w:r>
              <w:rPr>
                <w:rFonts w:ascii="SimSun" w:hAnsi="SimSun"/>
                <w:b w:val="false"/>
                <w:i w:val="false"/>
                <w:color w:val="000000"/>
                <w:sz w:val="21"/>
              </w:rPr>
              <w:t>Topics on managerial accounting and auditing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 （跨学科融合课）</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进阶II必修9学分，其中A组至少修读6学分，B组和C组任选，修读0-3学分。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A组（4门选3门）</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战略管理</w:t>
            </w:r>
            <w:r>
              <w:br/>
            </w:r>
            <w:r>
              <w:br/>
            </w:r>
            <w:r>
              <w:rPr>
                <w:rFonts w:ascii="SimSun" w:hAnsi="SimSun"/>
                <w:b w:val="false"/>
                <w:i w:val="false"/>
                <w:color w:val="000000"/>
                <w:sz w:val="21"/>
              </w:rPr>
              <w:t>Strategic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组织沟通与社会环境</w:t>
            </w:r>
            <w:r>
              <w:br/>
            </w:r>
            <w:r>
              <w:br/>
            </w:r>
            <w:r>
              <w:rPr>
                <w:rFonts w:ascii="SimSun" w:hAnsi="SimSun"/>
                <w:b w:val="false"/>
                <w:i w:val="false"/>
                <w:color w:val="000000"/>
                <w:sz w:val="21"/>
              </w:rPr>
              <w:t>Organization Communication and Social Context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国际商务管理</w:t>
            </w:r>
            <w:r>
              <w:br/>
            </w:r>
            <w:r>
              <w:br/>
            </w:r>
            <w:r>
              <w:rPr>
                <w:rFonts w:ascii="SimSun" w:hAnsi="SimSun"/>
                <w:b w:val="false"/>
                <w:i w:val="false"/>
                <w:color w:val="000000"/>
                <w:sz w:val="21"/>
              </w:rPr>
              <w:t>International Business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4选3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财务管理专业必修课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 Studies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金融市场与金融机构</w:t>
            </w:r>
            <w:r>
              <w:br/>
            </w:r>
            <w:r>
              <w:br/>
            </w:r>
            <w:r>
              <w:rPr>
                <w:rFonts w:ascii="SimSun" w:hAnsi="SimSun"/>
                <w:b w:val="false"/>
                <w:i w:val="false"/>
                <w:color w:val="000000"/>
                <w:sz w:val="21"/>
              </w:rPr>
              <w:t>Financial Markets and Institutions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衍生证券</w:t>
            </w:r>
            <w:r>
              <w:br/>
            </w:r>
            <w:r>
              <w:br/>
            </w:r>
            <w:r>
              <w:rPr>
                <w:rFonts w:ascii="SimSun" w:hAnsi="SimSun"/>
                <w:b w:val="false"/>
                <w:i w:val="false"/>
                <w:color w:val="000000"/>
                <w:sz w:val="21"/>
              </w:rPr>
              <w:t>Derivatives Instruments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公司财务理论与实务</w:t>
            </w:r>
            <w:r>
              <w:br/>
            </w:r>
            <w:r>
              <w:br/>
            </w:r>
            <w:r>
              <w:rPr>
                <w:rFonts w:ascii="SimSun" w:hAnsi="SimSun"/>
                <w:b w:val="false"/>
                <w:i w:val="false"/>
                <w:color w:val="000000"/>
                <w:sz w:val="21"/>
              </w:rPr>
              <w:t>Corporate Finance:Theory and Practice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管理科学专业必修课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供应链管理</w:t>
            </w:r>
            <w:r>
              <w:br/>
            </w:r>
            <w:r>
              <w:br/>
            </w:r>
            <w:r>
              <w:rPr>
                <w:rFonts w:ascii="SimSun" w:hAnsi="SimSun"/>
                <w:b w:val="false"/>
                <w:i w:val="false"/>
                <w:color w:val="000000"/>
                <w:sz w:val="21"/>
              </w:rPr>
              <w:t>Supply Chain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随机运筹学</w:t>
            </w:r>
            <w:r>
              <w:br/>
            </w:r>
            <w:r>
              <w:br/>
            </w:r>
            <w:r>
              <w:rPr>
                <w:rFonts w:ascii="SimSun" w:hAnsi="SimSun"/>
                <w:b w:val="false"/>
                <w:i w:val="false"/>
                <w:color w:val="000000"/>
                <w:sz w:val="21"/>
              </w:rPr>
              <w:t>Stochastic Operations Research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最优化方法及应用</w:t>
            </w:r>
            <w:r>
              <w:br/>
            </w:r>
            <w:r>
              <w:br/>
            </w:r>
            <w:r>
              <w:rPr>
                <w:rFonts w:ascii="SimSun" w:hAnsi="SimSun"/>
                <w:b w:val="false"/>
                <w:i w:val="false"/>
                <w:color w:val="000000"/>
                <w:sz w:val="21"/>
              </w:rPr>
              <w:t>Optimization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机器学习与商务智能</w:t>
            </w:r>
            <w:r>
              <w:br/>
            </w:r>
            <w:r>
              <w:br/>
            </w:r>
            <w:r>
              <w:rPr>
                <w:rFonts w:ascii="SimSun" w:hAnsi="SimSun"/>
                <w:b w:val="false"/>
                <w:i w:val="false"/>
                <w:color w:val="000000"/>
                <w:sz w:val="21"/>
              </w:rPr>
              <w:t>Machine Learning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工商管理专业必修课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人力资源管理</w:t>
            </w:r>
            <w:r>
              <w:br/>
            </w:r>
            <w:r>
              <w:br/>
            </w:r>
            <w:r>
              <w:rPr>
                <w:rFonts w:ascii="SimSun" w:hAnsi="SimSun"/>
                <w:b w:val="false"/>
                <w:i w:val="false"/>
                <w:color w:val="000000"/>
                <w:sz w:val="21"/>
              </w:rPr>
              <w:t>Human Resources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东方管理</w:t>
            </w:r>
            <w:r>
              <w:br/>
            </w:r>
            <w:r>
              <w:br/>
            </w:r>
            <w:r>
              <w:rPr>
                <w:rFonts w:ascii="SimSun" w:hAnsi="SimSun"/>
                <w:b w:val="false"/>
                <w:i w:val="false"/>
                <w:color w:val="000000"/>
                <w:sz w:val="21"/>
              </w:rPr>
              <w:t>Oriental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公司治理</w:t>
            </w:r>
            <w:r>
              <w:br/>
            </w:r>
            <w:r>
              <w:br/>
            </w:r>
            <w:r>
              <w:rPr>
                <w:rFonts w:ascii="SimSun" w:hAnsi="SimSun"/>
                <w:b w:val="false"/>
                <w:i w:val="false"/>
                <w:color w:val="000000"/>
                <w:sz w:val="21"/>
              </w:rPr>
              <w:t>Corporate Governance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创新与创业</w:t>
            </w:r>
            <w:r>
              <w:br/>
            </w:r>
            <w:r>
              <w:br/>
            </w:r>
            <w:r>
              <w:rPr>
                <w:rFonts w:ascii="SimSun" w:hAnsi="SimSun"/>
                <w:b w:val="false"/>
                <w:i w:val="false"/>
                <w:color w:val="000000"/>
                <w:sz w:val="21"/>
              </w:rPr>
              <w:t>Innovation and Entrepreneurship</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管理学研究方法</w:t>
            </w:r>
            <w:r>
              <w:br/>
            </w:r>
            <w:r>
              <w:br/>
            </w:r>
            <w:r>
              <w:rPr>
                <w:rFonts w:ascii="SimSun" w:hAnsi="SimSun"/>
                <w:b w:val="false"/>
                <w:i w:val="false"/>
                <w:color w:val="000000"/>
                <w:sz w:val="21"/>
              </w:rPr>
              <w:t>Research Methods in Management Research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信息管理与信息系统专业必修课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生成式人工智能技术基础</w:t>
            </w:r>
            <w:r>
              <w:br/>
            </w:r>
            <w:r>
              <w:br/>
            </w:r>
            <w:r>
              <w:rPr>
                <w:rFonts w:ascii="SimSun" w:hAnsi="SimSun"/>
                <w:b w:val="false"/>
                <w:i w:val="false"/>
                <w:color w:val="000000"/>
                <w:sz w:val="21"/>
              </w:rPr>
              <w:t>Fundamentals of Generative Artificial Intelligence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数据结构与算法导论</w:t>
            </w:r>
            <w:r>
              <w:br/>
            </w:r>
            <w:r>
              <w:br/>
            </w:r>
            <w:r>
              <w:rPr>
                <w:rFonts w:ascii="SimSun" w:hAnsi="SimSun"/>
                <w:b w:val="false"/>
                <w:i w:val="false"/>
                <w:color w:val="000000"/>
                <w:sz w:val="21"/>
              </w:rPr>
              <w:t>Data Structure and Introduction to Algorithms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MSE30028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数据库与企业数据管理</w:t>
            </w:r>
            <w:r>
              <w:br/>
            </w:r>
            <w:r>
              <w:br/>
            </w:r>
            <w:r>
              <w:rPr>
                <w:rFonts w:ascii="SimSun" w:hAnsi="SimSun"/>
                <w:b w:val="false"/>
                <w:i w:val="false"/>
                <w:color w:val="000000"/>
                <w:sz w:val="21"/>
              </w:rPr>
              <w:t>Database and Enterprise Data Management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数据挖掘与商业智能</w:t>
            </w:r>
            <w:r>
              <w:br/>
            </w:r>
            <w:r>
              <w:br/>
            </w:r>
            <w:r>
              <w:rPr>
                <w:rFonts w:ascii="SimSun" w:hAnsi="SimSun"/>
                <w:b w:val="false"/>
                <w:i w:val="false"/>
                <w:color w:val="000000"/>
                <w:sz w:val="21"/>
              </w:rPr>
              <w:t>Data Mining and Business Intelligence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市场营销专业必修课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消费者行为学</w:t>
            </w:r>
            <w:r>
              <w:br/>
            </w:r>
            <w:r>
              <w:br/>
            </w:r>
            <w:r>
              <w:rPr>
                <w:rFonts w:ascii="SimSun" w:hAnsi="SimSun"/>
                <w:b w:val="false"/>
                <w:i w:val="false"/>
                <w:color w:val="000000"/>
                <w:sz w:val="21"/>
              </w:rPr>
              <w:t>Consumer Behavior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营销研究</w:t>
            </w:r>
            <w:r>
              <w:br/>
            </w:r>
            <w:r>
              <w:br/>
            </w:r>
            <w:r>
              <w:rPr>
                <w:rFonts w:ascii="SimSun" w:hAnsi="SimSun"/>
                <w:b w:val="false"/>
                <w:i w:val="false"/>
                <w:color w:val="000000"/>
                <w:sz w:val="21"/>
              </w:rPr>
              <w:t>Marketing Research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服务营销</w:t>
            </w:r>
            <w:r>
              <w:br/>
            </w:r>
            <w:r>
              <w:br/>
            </w:r>
            <w:r>
              <w:rPr>
                <w:rFonts w:ascii="SimSun" w:hAnsi="SimSun"/>
                <w:b w:val="false"/>
                <w:i w:val="false"/>
                <w:color w:val="000000"/>
                <w:sz w:val="21"/>
              </w:rPr>
              <w:t>Service Marketing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数字化营销</w:t>
            </w:r>
            <w:r>
              <w:br/>
            </w:r>
            <w:r>
              <w:br/>
            </w:r>
            <w:r>
              <w:rPr>
                <w:rFonts w:ascii="SimSun" w:hAnsi="SimSun"/>
                <w:b w:val="false"/>
                <w:i w:val="false"/>
                <w:color w:val="000000"/>
                <w:sz w:val="21"/>
              </w:rPr>
              <w:t>Digital Marketing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BA30038</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统计学专业必修课</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09"/>
        <w:gridCol w:w="805"/>
        <w:gridCol w:w="805"/>
        <w:gridCol w:w="806"/>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回归分析</w:t>
            </w:r>
            <w:r>
              <w:br/>
            </w:r>
            <w:r>
              <w:br/>
            </w:r>
            <w:r>
              <w:rPr>
                <w:rFonts w:ascii="SimSun" w:hAnsi="SimSun"/>
                <w:b w:val="false"/>
                <w:i w:val="false"/>
                <w:color w:val="000000"/>
                <w:sz w:val="21"/>
              </w:rPr>
              <w:t>Regression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STAT30017</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抽样调查</w:t>
            </w:r>
            <w:r>
              <w:br/>
            </w:r>
            <w:r>
              <w:br/>
            </w:r>
            <w:r>
              <w:rPr>
                <w:rFonts w:ascii="SimSun" w:hAnsi="SimSun"/>
                <w:b w:val="false"/>
                <w:i w:val="false"/>
                <w:color w:val="000000"/>
                <w:sz w:val="21"/>
              </w:rPr>
              <w:t>Sampling Survey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多元分析</w:t>
            </w:r>
            <w:r>
              <w:br/>
            </w:r>
            <w:r>
              <w:br/>
            </w:r>
            <w:r>
              <w:rPr>
                <w:rFonts w:ascii="SimSun" w:hAnsi="SimSun"/>
                <w:b w:val="false"/>
                <w:i w:val="false"/>
                <w:color w:val="000000"/>
                <w:sz w:val="21"/>
              </w:rPr>
              <w:t>Applied Multivariate Statistical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非参数统计</w:t>
            </w:r>
            <w:r>
              <w:br/>
            </w:r>
            <w:r>
              <w:br/>
            </w:r>
            <w:r>
              <w:rPr>
                <w:rFonts w:ascii="SimSun" w:hAnsi="SimSun"/>
                <w:b w:val="false"/>
                <w:i w:val="false"/>
                <w:color w:val="000000"/>
                <w:sz w:val="21"/>
              </w:rPr>
              <w:t>Nonparametric Statistics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属性数据分析</w:t>
            </w:r>
            <w:r>
              <w:br/>
            </w:r>
            <w:r>
              <w:br/>
            </w:r>
            <w:r>
              <w:rPr>
                <w:rFonts w:ascii="SimSun" w:hAnsi="SimSun"/>
                <w:b w:val="false"/>
                <w:i w:val="false"/>
                <w:color w:val="000000"/>
                <w:sz w:val="21"/>
              </w:rPr>
              <w:t>Categorical Data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统计计算</w:t>
            </w:r>
            <w:r>
              <w:br/>
            </w:r>
            <w:r>
              <w:br/>
            </w:r>
            <w:r>
              <w:rPr>
                <w:rFonts w:ascii="SimSun" w:hAnsi="SimSun"/>
                <w:b w:val="false"/>
                <w:i w:val="false"/>
                <w:color w:val="000000"/>
                <w:sz w:val="21"/>
              </w:rPr>
              <w:t>Statistical Computing</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STAT30024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Real Analysis</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STAT40001</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C组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管理综合课程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运营管理</w:t>
            </w:r>
            <w:r>
              <w:br/>
            </w:r>
            <w:r>
              <w:br/>
            </w:r>
            <w:r>
              <w:rPr>
                <w:rFonts w:ascii="SimSun" w:hAnsi="SimSun"/>
                <w:b w:val="false"/>
                <w:i w:val="false"/>
                <w:color w:val="000000"/>
                <w:sz w:val="21"/>
              </w:rPr>
              <w:t>Operations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物流管理</w:t>
            </w:r>
            <w:r>
              <w:br/>
            </w:r>
            <w:r>
              <w:br/>
            </w:r>
            <w:r>
              <w:rPr>
                <w:rFonts w:ascii="SimSun" w:hAnsi="SimSun"/>
                <w:b w:val="false"/>
                <w:i w:val="false"/>
                <w:color w:val="000000"/>
                <w:sz w:val="21"/>
              </w:rPr>
              <w:t>Logistics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国际财务管理</w:t>
            </w:r>
            <w:r>
              <w:br/>
            </w:r>
            <w:r>
              <w:br/>
            </w:r>
            <w:r>
              <w:rPr>
                <w:rFonts w:ascii="SimSun" w:hAnsi="SimSun"/>
                <w:b w:val="false"/>
                <w:i w:val="false"/>
                <w:color w:val="000000"/>
                <w:sz w:val="21"/>
              </w:rPr>
              <w:t>International Financial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税法</w:t>
            </w:r>
            <w:r>
              <w:br/>
            </w:r>
            <w:r>
              <w:br/>
            </w:r>
            <w:r>
              <w:rPr>
                <w:rFonts w:ascii="SimSun" w:hAnsi="SimSun"/>
                <w:b w:val="false"/>
                <w:i w:val="false"/>
                <w:color w:val="000000"/>
                <w:sz w:val="21"/>
              </w:rPr>
              <w:t>Taxation Law</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中国金融市场</w:t>
            </w:r>
            <w:r>
              <w:br/>
            </w:r>
            <w:r>
              <w:br/>
            </w:r>
            <w:r>
              <w:rPr>
                <w:rFonts w:ascii="SimSun" w:hAnsi="SimSun"/>
                <w:b w:val="false"/>
                <w:i w:val="false"/>
                <w:color w:val="000000"/>
                <w:sz w:val="21"/>
              </w:rPr>
              <w:t>Chinese Financial Markets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法律、商业与社会</w:t>
            </w:r>
            <w:r>
              <w:br/>
            </w:r>
            <w:r>
              <w:br/>
            </w:r>
            <w:r>
              <w:rPr>
                <w:rFonts w:ascii="SimSun" w:hAnsi="SimSun"/>
                <w:b w:val="false"/>
                <w:i w:val="false"/>
                <w:color w:val="000000"/>
                <w:sz w:val="21"/>
              </w:rPr>
              <w:t>Law, Business and Society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规制经济学</w:t>
            </w:r>
            <w:r>
              <w:br/>
            </w:r>
            <w:r>
              <w:br/>
            </w:r>
            <w:r>
              <w:rPr>
                <w:rFonts w:ascii="SimSun" w:hAnsi="SimSun"/>
                <w:b w:val="false"/>
                <w:i w:val="false"/>
                <w:color w:val="000000"/>
                <w:sz w:val="21"/>
              </w:rPr>
              <w:t>Regulatory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ECON30169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产业组织与企业战略</w:t>
            </w:r>
            <w:r>
              <w:br/>
            </w:r>
            <w:r>
              <w:br/>
            </w:r>
            <w:r>
              <w:rPr>
                <w:rFonts w:ascii="SimSun" w:hAnsi="SimSun"/>
                <w:b w:val="false"/>
                <w:i w:val="false"/>
                <w:color w:val="000000"/>
                <w:sz w:val="21"/>
              </w:rPr>
              <w:t>Industrial Organization and Management Strategy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基金管理</w:t>
            </w:r>
            <w:r>
              <w:br/>
            </w:r>
            <w:r>
              <w:br/>
            </w:r>
            <w:r>
              <w:rPr>
                <w:rFonts w:ascii="SimSun" w:hAnsi="SimSun"/>
                <w:b w:val="false"/>
                <w:i w:val="false"/>
                <w:color w:val="000000"/>
                <w:sz w:val="21"/>
              </w:rPr>
              <w:t>Investment Fund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经济与金融中的统计方法</w:t>
            </w:r>
            <w:r>
              <w:br/>
            </w:r>
            <w:r>
              <w:br/>
            </w:r>
            <w:r>
              <w:rPr>
                <w:rFonts w:ascii="SimSun" w:hAnsi="SimSun"/>
                <w:b w:val="false"/>
                <w:i w:val="false"/>
                <w:color w:val="000000"/>
                <w:sz w:val="21"/>
              </w:rPr>
              <w:t>Statistical Methods in Economics and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财务报表分析</w:t>
            </w:r>
            <w:r>
              <w:br/>
            </w:r>
            <w:r>
              <w:br/>
            </w:r>
            <w:r>
              <w:rPr>
                <w:rFonts w:ascii="SimSun" w:hAnsi="SimSun"/>
                <w:b w:val="false"/>
                <w:i w:val="false"/>
                <w:color w:val="000000"/>
                <w:sz w:val="21"/>
              </w:rPr>
              <w:t>Financial Statement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会计专题研究</w:t>
            </w:r>
            <w:r>
              <w:br/>
            </w:r>
            <w:r>
              <w:br/>
            </w:r>
            <w:r>
              <w:rPr>
                <w:rFonts w:ascii="SimSun" w:hAnsi="SimSun"/>
                <w:b w:val="false"/>
                <w:i w:val="false"/>
                <w:color w:val="000000"/>
                <w:sz w:val="21"/>
              </w:rPr>
              <w:t>Selected Topics in Accounting Research</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行为金融学</w:t>
            </w:r>
            <w:r>
              <w:br/>
            </w:r>
            <w:r>
              <w:br/>
            </w:r>
            <w:r>
              <w:rPr>
                <w:rFonts w:ascii="SimSun" w:hAnsi="SimSun"/>
                <w:b w:val="false"/>
                <w:i w:val="false"/>
                <w:color w:val="000000"/>
                <w:sz w:val="21"/>
              </w:rPr>
              <w:t>Behavioral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AIS210009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财务报表与资本市场</w:t>
            </w:r>
            <w:r>
              <w:br/>
            </w:r>
            <w:r>
              <w:br/>
            </w:r>
            <w:r>
              <w:rPr>
                <w:rFonts w:ascii="SimSun" w:hAnsi="SimSun"/>
                <w:b w:val="false"/>
                <w:i w:val="false"/>
                <w:color w:val="000000"/>
                <w:sz w:val="21"/>
              </w:rPr>
              <w:t>Financial Report and Capital Market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信息技术创新应用</w:t>
            </w:r>
            <w:r>
              <w:br/>
            </w:r>
            <w:r>
              <w:br/>
            </w:r>
            <w:r>
              <w:rPr>
                <w:rFonts w:ascii="SimSun" w:hAnsi="SimSun"/>
                <w:b w:val="false"/>
                <w:i w:val="false"/>
                <w:color w:val="000000"/>
                <w:sz w:val="21"/>
              </w:rPr>
              <w:t>Innovative Applications of Information 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人工智能时代的商务模式</w:t>
            </w:r>
            <w:r>
              <w:br/>
            </w:r>
            <w:r>
              <w:br/>
            </w:r>
            <w:r>
              <w:rPr>
                <w:rFonts w:ascii="SimSun" w:hAnsi="SimSun"/>
                <w:b w:val="false"/>
                <w:i w:val="false"/>
                <w:color w:val="000000"/>
                <w:sz w:val="21"/>
              </w:rPr>
              <w:t>Business Models in the Era of Artificial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人工智能经济学</w:t>
            </w:r>
            <w:r>
              <w:br/>
            </w:r>
            <w:r>
              <w:br/>
            </w:r>
            <w:r>
              <w:rPr>
                <w:rFonts w:ascii="SimSun" w:hAnsi="SimSun"/>
                <w:b w:val="false"/>
                <w:i w:val="false"/>
                <w:color w:val="000000"/>
                <w:sz w:val="21"/>
              </w:rPr>
              <w:t>AI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社会智能与心理计算</w:t>
            </w:r>
            <w:r>
              <w:br/>
            </w:r>
            <w:r>
              <w:br/>
            </w:r>
            <w:r>
              <w:rPr>
                <w:rFonts w:ascii="SimSun" w:hAnsi="SimSun"/>
                <w:b w:val="false"/>
                <w:i w:val="false"/>
                <w:color w:val="000000"/>
                <w:sz w:val="21"/>
              </w:rPr>
              <w:t>Social Intelligence and Psychological Computation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基于AI的知识管理</w:t>
            </w:r>
            <w:r>
              <w:br/>
            </w:r>
            <w:r>
              <w:br/>
            </w:r>
            <w:r>
              <w:rPr>
                <w:rFonts w:ascii="SimSun" w:hAnsi="SimSun"/>
                <w:b w:val="false"/>
                <w:i w:val="false"/>
                <w:color w:val="000000"/>
                <w:sz w:val="21"/>
              </w:rPr>
              <w:t>AI-based Knowledge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程序设计与数据可视化</w:t>
            </w:r>
            <w:r>
              <w:br/>
            </w:r>
            <w:r>
              <w:br/>
            </w:r>
            <w:r>
              <w:rPr>
                <w:rFonts w:ascii="SimSun" w:hAnsi="SimSun"/>
                <w:b w:val="false"/>
                <w:i w:val="false"/>
                <w:color w:val="000000"/>
                <w:sz w:val="21"/>
              </w:rPr>
              <w:t>Programming and Data Visualization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数据科学编程进阶</w:t>
            </w:r>
            <w:r>
              <w:br/>
            </w:r>
            <w:r>
              <w:br/>
            </w:r>
            <w:r>
              <w:rPr>
                <w:rFonts w:ascii="SimSun" w:hAnsi="SimSun"/>
                <w:b w:val="false"/>
                <w:i w:val="false"/>
                <w:color w:val="000000"/>
                <w:sz w:val="21"/>
              </w:rPr>
              <w:t>Advanced Data Science Programming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现代操作系统和网络应用</w:t>
            </w:r>
            <w:r>
              <w:br/>
            </w:r>
            <w:r>
              <w:br/>
            </w:r>
            <w:r>
              <w:rPr>
                <w:rFonts w:ascii="SimSun" w:hAnsi="SimSun"/>
                <w:b w:val="false"/>
                <w:i w:val="false"/>
                <w:color w:val="000000"/>
                <w:sz w:val="21"/>
              </w:rPr>
              <w:t>Modern Operating Systems and Network Applications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宏观政策与金融投资</w:t>
            </w:r>
            <w:r>
              <w:br/>
            </w:r>
            <w:r>
              <w:br/>
            </w:r>
            <w:r>
              <w:rPr>
                <w:rFonts w:ascii="SimSun" w:hAnsi="SimSun"/>
                <w:b w:val="false"/>
                <w:i w:val="false"/>
                <w:color w:val="000000"/>
                <w:sz w:val="21"/>
              </w:rPr>
              <w:t>Macroeconomic Policy and Financial 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产品创新管理</w:t>
            </w:r>
            <w:r>
              <w:br/>
            </w:r>
            <w:r>
              <w:br/>
            </w:r>
            <w:r>
              <w:rPr>
                <w:rFonts w:ascii="SimSun" w:hAnsi="SimSun"/>
                <w:b w:val="false"/>
                <w:i w:val="false"/>
                <w:color w:val="000000"/>
                <w:sz w:val="21"/>
              </w:rPr>
              <w:t>Product Innovation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品牌传播管理</w:t>
            </w:r>
            <w:r>
              <w:br/>
            </w:r>
            <w:r>
              <w:br/>
            </w:r>
            <w:r>
              <w:rPr>
                <w:rFonts w:ascii="SimSun" w:hAnsi="SimSun"/>
                <w:b w:val="false"/>
                <w:i w:val="false"/>
                <w:color w:val="000000"/>
                <w:sz w:val="21"/>
              </w:rPr>
              <w:t>Brand Communication Management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营销工程</w:t>
            </w:r>
            <w:r>
              <w:br/>
            </w:r>
            <w:r>
              <w:br/>
            </w:r>
            <w:r>
              <w:rPr>
                <w:rFonts w:ascii="SimSun" w:hAnsi="SimSun"/>
                <w:b w:val="false"/>
                <w:i w:val="false"/>
                <w:color w:val="000000"/>
                <w:sz w:val="21"/>
              </w:rPr>
              <w:t>Marketing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价值投资实务</w:t>
            </w:r>
            <w:r>
              <w:br/>
            </w:r>
            <w:r>
              <w:br/>
            </w:r>
            <w:r>
              <w:rPr>
                <w:rFonts w:ascii="SimSun" w:hAnsi="SimSun"/>
                <w:b w:val="false"/>
                <w:i w:val="false"/>
                <w:color w:val="000000"/>
                <w:sz w:val="21"/>
              </w:rPr>
              <w:t>Value Investment in Practice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资本资产定价</w:t>
            </w:r>
            <w:r>
              <w:br/>
            </w:r>
            <w:r>
              <w:br/>
            </w:r>
            <w:r>
              <w:rPr>
                <w:rFonts w:ascii="SimSun" w:hAnsi="SimSun"/>
                <w:b w:val="false"/>
                <w:i w:val="false"/>
                <w:color w:val="000000"/>
                <w:sz w:val="21"/>
              </w:rPr>
              <w:t>Foundations of Asset Pricing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房地产金融</w:t>
            </w:r>
            <w:r>
              <w:br/>
            </w:r>
            <w:r>
              <w:br/>
            </w:r>
            <w:r>
              <w:rPr>
                <w:rFonts w:ascii="SimSun" w:hAnsi="SimSun"/>
                <w:b w:val="false"/>
                <w:i w:val="false"/>
                <w:color w:val="000000"/>
                <w:sz w:val="21"/>
              </w:rPr>
              <w:t>Real Estate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会计与人工智能</w:t>
            </w:r>
            <w:r>
              <w:br/>
            </w:r>
            <w:r>
              <w:br/>
            </w:r>
            <w:r>
              <w:rPr>
                <w:rFonts w:ascii="SimSun" w:hAnsi="SimSun"/>
                <w:b w:val="false"/>
                <w:i w:val="false"/>
                <w:color w:val="000000"/>
                <w:sz w:val="21"/>
              </w:rPr>
              <w:t>Artificial Intelligence in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营销科技与决策系统</w:t>
            </w:r>
            <w:r>
              <w:br/>
            </w:r>
            <w:r>
              <w:br/>
            </w:r>
            <w:r>
              <w:rPr>
                <w:rFonts w:ascii="SimSun" w:hAnsi="SimSun"/>
                <w:b w:val="false"/>
                <w:i w:val="false"/>
                <w:color w:val="000000"/>
                <w:sz w:val="21"/>
              </w:rPr>
              <w:t>Marketing Technology and Decision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营销创意思维</w:t>
            </w:r>
            <w:r>
              <w:br/>
            </w:r>
            <w:r>
              <w:br/>
            </w:r>
            <w:r>
              <w:rPr>
                <w:rFonts w:ascii="SimSun" w:hAnsi="SimSun"/>
                <w:b w:val="false"/>
                <w:i w:val="false"/>
                <w:color w:val="000000"/>
                <w:sz w:val="21"/>
              </w:rPr>
              <w:t>Logical Creative Thinking Methods for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BA30061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数字平台经济学</w:t>
            </w:r>
            <w:r>
              <w:br/>
            </w:r>
            <w:r>
              <w:br/>
            </w:r>
            <w:r>
              <w:rPr>
                <w:rFonts w:ascii="SimSun" w:hAnsi="SimSun"/>
                <w:b w:val="false"/>
                <w:i w:val="false"/>
                <w:color w:val="000000"/>
                <w:sz w:val="21"/>
              </w:rPr>
              <w:t>Digital Platform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ECON30173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人工智能（AI）营销</w:t>
            </w:r>
            <w:r>
              <w:br/>
            </w:r>
            <w:r>
              <w:br/>
            </w:r>
            <w:r>
              <w:rPr>
                <w:rFonts w:ascii="SimSun" w:hAnsi="SimSun"/>
                <w:b w:val="false"/>
                <w:i w:val="false"/>
                <w:color w:val="000000"/>
                <w:sz w:val="21"/>
              </w:rPr>
              <w:t>Artificial Intelligence (AI) in Marketing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国际会计</w:t>
            </w:r>
            <w:r>
              <w:br/>
            </w:r>
            <w:r>
              <w:br/>
            </w:r>
            <w:r>
              <w:rPr>
                <w:rFonts w:ascii="SimSun" w:hAnsi="SimSun"/>
                <w:b w:val="false"/>
                <w:i w:val="false"/>
                <w:color w:val="000000"/>
                <w:sz w:val="21"/>
              </w:rPr>
              <w:t>International Accounting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强化学习与智能决策</w:t>
            </w:r>
            <w:r>
              <w:br/>
            </w:r>
            <w:r>
              <w:br/>
            </w:r>
            <w:r>
              <w:rPr>
                <w:rFonts w:ascii="SimSun" w:hAnsi="SimSun"/>
                <w:b w:val="false"/>
                <w:i w:val="false"/>
                <w:color w:val="000000"/>
                <w:sz w:val="21"/>
              </w:rPr>
              <w:t>Reinforcement Learning and Intelligent Decision-Making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深度学习与运营优化</w:t>
            </w:r>
            <w:r>
              <w:br/>
            </w:r>
            <w:r>
              <w:br/>
            </w:r>
            <w:r>
              <w:rPr>
                <w:rFonts w:ascii="SimSun" w:hAnsi="SimSun"/>
                <w:b w:val="false"/>
                <w:i w:val="false"/>
                <w:color w:val="000000"/>
                <w:sz w:val="21"/>
              </w:rPr>
              <w:t>Deep Learning for Operation Optimization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MSE30007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营销渠道管理</w:t>
            </w:r>
            <w:r>
              <w:br/>
            </w:r>
            <w:r>
              <w:br/>
            </w:r>
            <w:r>
              <w:rPr>
                <w:rFonts w:ascii="SimSun" w:hAnsi="SimSun"/>
                <w:b w:val="false"/>
                <w:i w:val="false"/>
                <w:color w:val="000000"/>
                <w:sz w:val="21"/>
              </w:rPr>
              <w:t>Marketing Channel Management</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BA30021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专业进阶III   研究生阶段课程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进阶III至少修读13学分，其中A组必修7学分，B组至少修读6学分。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a) A组</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必修7学分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The 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计量经济学II</w:t>
            </w:r>
            <w:r>
              <w:br/>
            </w:r>
            <w:r>
              <w:br/>
            </w:r>
            <w:r>
              <w:rPr>
                <w:rFonts w:ascii="SimSun" w:hAnsi="SimSun"/>
                <w:b w:val="false"/>
                <w:i w:val="false"/>
                <w:color w:val="000000"/>
                <w:sz w:val="21"/>
              </w:rPr>
              <w:t>Econometrics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解析会计研究</w:t>
            </w:r>
            <w:r>
              <w:br/>
            </w:r>
            <w:r>
              <w:br/>
            </w:r>
            <w:r>
              <w:rPr>
                <w:rFonts w:ascii="SimSun" w:hAnsi="SimSun"/>
                <w:b w:val="false"/>
                <w:i w:val="false"/>
                <w:color w:val="000000"/>
                <w:sz w:val="21"/>
              </w:rPr>
              <w:t>Analytical Accounting Research</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BA70007</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B组</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除去已修读与进阶I-B组部分课程重合之外，补足本科阶段未修课程即可，所以此版块至少修读6学分。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实证会计研究</w:t>
            </w:r>
            <w:r>
              <w:br/>
            </w:r>
            <w:r>
              <w:br/>
            </w:r>
            <w:r>
              <w:rPr>
                <w:rFonts w:ascii="SimSun" w:hAnsi="SimSun"/>
                <w:b w:val="false"/>
                <w:i w:val="false"/>
                <w:color w:val="000000"/>
                <w:sz w:val="21"/>
              </w:rPr>
              <w:t>Empirical Research in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税收与资本市场</w:t>
            </w:r>
            <w:r>
              <w:br/>
            </w:r>
            <w:r>
              <w:br/>
            </w:r>
            <w:r>
              <w:rPr>
                <w:rFonts w:ascii="SimSun" w:hAnsi="SimSun"/>
                <w:b w:val="false"/>
                <w:i w:val="false"/>
                <w:color w:val="000000"/>
                <w:sz w:val="21"/>
              </w:rPr>
              <w:t>Tax and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制度变革与中国资本市场</w:t>
            </w:r>
            <w:r>
              <w:br/>
            </w:r>
            <w:r>
              <w:br/>
            </w:r>
            <w:r>
              <w:rPr>
                <w:rFonts w:ascii="SimSun" w:hAnsi="SimSun"/>
                <w:b w:val="false"/>
                <w:i w:val="false"/>
                <w:color w:val="000000"/>
                <w:sz w:val="21"/>
              </w:rPr>
              <w:t>Institutional Reform and China's Capital Market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会计学前沿研究</w:t>
            </w:r>
            <w:r>
              <w:br/>
            </w:r>
            <w:r>
              <w:br/>
            </w:r>
            <w:r>
              <w:rPr>
                <w:rFonts w:ascii="SimSun" w:hAnsi="SimSun"/>
                <w:b w:val="false"/>
                <w:i w:val="false"/>
                <w:color w:val="000000"/>
                <w:sz w:val="21"/>
              </w:rPr>
              <w:t>Frontier Research of Accounting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管理会计与审计专题研究</w:t>
            </w:r>
            <w:r>
              <w:br/>
            </w:r>
            <w:r>
              <w:br/>
            </w:r>
            <w:r>
              <w:rPr>
                <w:rFonts w:ascii="SimSun" w:hAnsi="SimSun"/>
                <w:b w:val="false"/>
                <w:i w:val="false"/>
                <w:color w:val="000000"/>
                <w:sz w:val="21"/>
              </w:rPr>
              <w:t>Topics on managerial accounting and auditing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BA70009</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研究生课程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修读荣誉课程不少于8门课。荣誉项目课程设置和修读要求请见管理学院“本科荣誉项目”实施方案。下载地址：https://jwc.fudan.edu.cn/（复旦大学教务处）专业培养-常用文档。研究生阶段须完成进阶III (13学分）。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在专业进阶路径I和II的基础上或荣誉项目基础上，修读1个跨学科学程（微专业）15学分（可在研究生学段修读），具体要求见教务处网站学程实施方案。研究生阶段须完成进阶III (13学分）。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在专业进阶路径I和II的基础上或荣誉项目基础上，修读1个创新创业15学分（可在研究生学段修读），具体要求见教务处网站学程实施方案。研究生阶段须完成进阶III (13学分）。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1.全周期的科研训练体系，循环渐进，在解决复杂问题的过程中，激发批判性思维和科研潜力。完成1项复芏计划（FDUROP）项目（䇹政、望道、登辉和曦源），激发创新志趣。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2.多渠道支持并资助学生参加国内国际高水平学术交流，原则上应到具有世界一流水平高校进行一年左右的学习、研究或联合培养。
       </w:t>
      </w:r>
      <w:r>
        <w:br/>
      </w:r>
      <w:r>
        <w:rPr>
          <w:rFonts w:ascii="SimSun" w:hAnsi="SimSun"/>
          <w:b w:val="false"/>
          <w:i w:val="false"/>
          <w:color w:val="000000"/>
          <w:sz w:val="21"/>
        </w:rPr>
        <w:t xml:space="preserve">
       </w:t>
      </w:r>
      <w:r>
        <w:br/>
      </w:r>
      <w:r>
        <w:rPr>
          <w:rFonts w:ascii="SimSun" w:hAnsi="SimSun"/>
          <w:b w:val="false"/>
          <w:i w:val="false"/>
          <w:color w:val="000000"/>
          <w:sz w:val="21"/>
        </w:rPr>
        <w:t xml:space="preserve">3.全员参加“朝阳行动”，教授带队，学以致用，培养高度的社会责任感。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w:t>
            </w:r>
            <w:r>
              <w:br/>
            </w:r>
            <w:r>
              <w:br/>
            </w:r>
            <w:r>
              <w:rPr>
                <w:rFonts w:ascii="SimSun" w:hAnsi="SimSun"/>
                <w:b w:val="false"/>
                <w:i w:val="false"/>
                <w:color w:val="000000"/>
                <w:sz w:val="21"/>
              </w:rPr>
              <w:t>Social Survey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BA30055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本科“朝阳行动”支教活动，暑假为期一周。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硕博合上（即英文学术论文写作）</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管理学前沿讲座</w:t>
            </w:r>
            <w:r>
              <w:br/>
            </w:r>
            <w:r>
              <w:br/>
            </w:r>
            <w:r>
              <w:rPr>
                <w:rFonts w:ascii="SimSun" w:hAnsi="SimSun"/>
                <w:b w:val="false"/>
                <w:i w:val="false"/>
                <w:color w:val="000000"/>
                <w:sz w:val="21"/>
              </w:rPr>
              <w:t>Management Lectures on Frontier Discipline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BA50003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硕博合上</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BA40011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第3、4学期，需在各研究方向的无学分讨论班轮转，每次讨论班结束后需一周内提交科研感想报告，并获得相应方向讨论班老师签字确认。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至少修读1门全英语的研究生课程</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原则上应到具有世界一流水平的国外高校进行一年的学习、研究或联合培养。需具有参加高水平国际学术会议并作报告的经历。</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详细信息见附件《复旦大学管理学院卓博计划培养环节具体实施办法》、《复旦大学博士研究生培养分流退出实施办法》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详细信息见附件《复旦大学管理学院卓博计划培养环节具体实施办法》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要求在转博前承担1次本科课程的助教工作； 要求在转博前完成1次学院规定的扶贫支教工作； 要求在转博后承担1次MBA/专业硕士/硕博课程的助教工作；要求在博士期间进行海外交流、联合培养</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论文预审相关要求见学位论文预审模块</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abstractNum w:abstractNumId="1">
    <w:multiLevelType w:val="multilevel"/>
    <w:lvl w:ilvl="0">
      <w:start w:val="1"/>
      <w:numFmt w:val="decimal"/>
      <w:lvlText w:val="%1"/>
      <w:lvlJc w:val="left"/>
      <w:pPr>
        <w:ind w:left="960" w:hanging="360"/>
      </w:pPr>
    </w:lvl>
  </w:abstractNum>
  <w:abstractNum w:abstractNumId="2">
    <w:multiLevelType w:val="multilevel"/>
    <w:lvl w:ilvl="0">
      <w:start w:val="2"/>
      <w:numFmt w:val="decimal"/>
      <w:lvlText w:val="%1"/>
      <w:lvlJc w:val="left"/>
      <w:pPr>
        <w:ind w:left="960" w:hanging="360"/>
      </w:pPr>
    </w:lvl>
  </w:abstractNum>
  <w:num w:numId="1">
    <w:abstractNumId w:val="1"/>
  </w:num>
  <w:num w:numId="2">
    <w:abstractNumId w:val="2"/>
  </w:num>
</w:numbering>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