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高分子科学系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2025高分子材料与工程本科培养方案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8"/>
        </w:rPr>
        <w:t>复旦大学高分子科学系是我国最早从事高分子科学的教学和研究的单位之一，设有高分子材料与工程本科专业，也是“强基计划”化学(高分子化学)专业培养单位。设有高分子化学与物理硕士点、博士点、博士后科研流动站，还设有材料与化工专业硕士点、博士点，建设有聚合物分子工程全国重点实验室及上海市聚合物分子工程专业技术服务平台。高分子科学系以先进的育人理念、雄厚的师资力量、和谐的管理氛围、优质的学术成果等优势，是我国培养高分子及相关学科创新人才及开展前沿科学研究的重要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8"/>
        </w:rPr>
        <w:t>按照“宽口径、厚基础、重能力、求创新”的人才培养要求，以“2+X+Y”（2是通识和专业教育，X是多元发展路径，Y为融合创新能力）为途径，旨在培养的高分子领域具有深厚理论基础和卓越创新能力的高素质复合型人才。注重理论与实践相结合，通过系统的课程学习和科研训练，培养学生创新思维和独立解决复杂问题的能力，能够勇攀科学高峰、引领文明进步、推动技术创新的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233333"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33333" cy="15240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47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473200"/>
                    </a:xfrm>
                    <a:prstGeom prst="rect">
                      <a:avLst/>
                    </a:prstGeom>
                  </pic:spPr>
                </pic:pic>
              </a:graphicData>
            </a:graphic>
          </wp:inline>
        </w:drawing>
      </w:r>
    </w:p>
    <w:p>
      <w:pPr>
        <w:spacing w:after="0"/>
        <w:ind w:left="0"/>
        <w:jc w:val="left"/>
      </w:pPr>
      <w:r>
        <w:rPr>
          <w:rFonts w:ascii="SimSun" w:hAnsi="SimSun"/>
          <w:b w:val="false"/>
          <w:i w:val="false"/>
          <w:color w:val="000000"/>
          <w:sz w:val="28"/>
        </w:rPr>
        <w:t>1、专业进阶路径：141学分</w:t>
      </w:r>
    </w:p>
    <w:p>
      <w:pPr>
        <w:spacing w:after="0"/>
        <w:ind w:left="0"/>
        <w:jc w:val="left"/>
      </w:pPr>
      <w:r>
        <w:rPr>
          <w:rFonts w:ascii="SimSun" w:hAnsi="SimSun"/>
          <w:b w:val="false"/>
          <w:i w:val="false"/>
          <w:color w:val="000000"/>
          <w:sz w:val="28"/>
        </w:rPr>
        <w:t xml:space="preserve">      本路径学生本科期间必须修满教学计划规定的141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42学分、专业培养课程54学分、专业进阶I修读15学分、专业进阶II修读9学分、融合创新能力培养模块21学分的修读。</w:t>
      </w:r>
    </w:p>
    <w:p>
      <w:pPr>
        <w:spacing w:after="0"/>
        <w:ind w:left="0"/>
        <w:jc w:val="left"/>
      </w:pPr>
      <w:r>
        <w:rPr>
          <w:rFonts w:ascii="SimSun" w:hAnsi="SimSun"/>
          <w:b w:val="false"/>
          <w:i w:val="false"/>
          <w:color w:val="000000"/>
          <w:sz w:val="28"/>
        </w:rPr>
        <w:t>2、荣誉项目：147学分</w:t>
      </w:r>
    </w:p>
    <w:p>
      <w:pPr>
        <w:spacing w:after="0"/>
        <w:ind w:left="0"/>
        <w:jc w:val="left"/>
      </w:pPr>
      <w:r>
        <w:rPr>
          <w:rFonts w:ascii="SimSun" w:hAnsi="SimSun"/>
          <w:b w:val="false"/>
          <w:i w:val="false"/>
          <w:color w:val="000000"/>
          <w:sz w:val="28"/>
        </w:rPr>
        <w:t xml:space="preserve">   在专业进阶路径基础上，修读荣誉课程不少于6门课。荣誉项目课程设置和修读要求请见高分子科学系“荣誉项目”实施方案。下载地址：https://jwc.fudan.edu.cn/（复旦大学教务处）专业培养-常用文档。</w:t>
      </w:r>
    </w:p>
    <w:p>
      <w:pPr>
        <w:spacing w:after="0"/>
        <w:ind w:left="0"/>
        <w:jc w:val="left"/>
      </w:pPr>
      <w:r>
        <w:rPr>
          <w:rFonts w:ascii="SimSun" w:hAnsi="SimSun"/>
          <w:b w:val="false"/>
          <w:i w:val="false"/>
          <w:color w:val="000000"/>
          <w:sz w:val="28"/>
        </w:rPr>
        <w:t>3、跨学科发展路径：141学分</w:t>
      </w:r>
    </w:p>
    <w:p>
      <w:pPr>
        <w:spacing w:after="0"/>
        <w:ind w:left="0"/>
        <w:jc w:val="left"/>
      </w:pPr>
      <w:r>
        <w:rPr>
          <w:rFonts w:ascii="SimSun" w:hAnsi="SimSun"/>
          <w:b w:val="false"/>
          <w:i w:val="false"/>
          <w:color w:val="000000"/>
          <w:sz w:val="28"/>
        </w:rPr>
        <w:t xml:space="preserve">   修满24学分。可选两种路径：①要求修读专业进阶I（15学分）课程以及1个非本专业独立开设的完整学程，若学分不足，可用任意选修补足。②要求修读2个非本专业独立开设的完整学程，可选择专业学程或跨学科学程，若学分不足，可用任意选修学分补足。</w:t>
      </w:r>
      <w:r>
        <w:br/>
      </w:r>
      <w:r>
        <w:br/>
      </w:r>
      <w:r>
        <w:rPr>
          <w:rFonts w:ascii="SimSun" w:hAnsi="SimSun"/>
          <w:b w:val="false"/>
          <w:i w:val="false"/>
          <w:color w:val="000000"/>
          <w:sz w:val="28"/>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val="false"/>
          <w:i w:val="false"/>
          <w:color w:val="000000"/>
          <w:sz w:val="28"/>
        </w:rPr>
        <w:t>4、高分子材料与工程+AI双学士学位项目：180学分</w:t>
      </w:r>
    </w:p>
    <w:p>
      <w:pPr>
        <w:spacing w:after="0"/>
        <w:ind w:left="0"/>
        <w:jc w:val="left"/>
      </w:pPr>
      <w:r>
        <w:rPr>
          <w:rFonts w:ascii="SimSun" w:hAnsi="SimSun"/>
          <w:b w:val="false"/>
          <w:i w:val="false"/>
          <w:color w:val="000000"/>
          <w:sz w:val="28"/>
        </w:rPr>
        <w:t xml:space="preserve">     本路径学生必须修满教学计划规定的180学分，包括通识教育课程39学分、专业培养课程96学分、专业进阶模块修读24学分、融合创新能力培养21学分。具体要求见高分子材料与工程-信息与计算科学（人工智能方向）双学士学位项目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8"/>
        </w:rPr>
        <w:t xml:space="preserve">1. 四年级结束时，如达到学士学位要求者理授予学学士学位。 </w:t>
      </w:r>
    </w:p>
    <w:p>
      <w:pPr>
        <w:spacing w:after="0"/>
        <w:ind w:left="0"/>
        <w:jc w:val="left"/>
      </w:pPr>
      <w:r>
        <w:rPr>
          <w:rFonts w:ascii="SimSun" w:hAnsi="SimSun"/>
          <w:b w:val="false"/>
          <w:i w:val="false"/>
          <w:color w:val="000000"/>
          <w:sz w:val="28"/>
        </w:rPr>
        <w:t>（1）修满规定的学分，达到本科教学培养方案规定的各项要求。</w:t>
      </w:r>
    </w:p>
    <w:p>
      <w:pPr>
        <w:spacing w:after="0"/>
        <w:ind w:left="0"/>
        <w:jc w:val="left"/>
      </w:pPr>
      <w:r>
        <w:rPr>
          <w:rFonts w:ascii="SimSun" w:hAnsi="SimSun"/>
          <w:b w:val="false"/>
          <w:i w:val="false"/>
          <w:color w:val="000000"/>
          <w:sz w:val="28"/>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8"/>
        </w:rPr>
        <w:t>（3）在此基础上，达到高分子科学系“荣誉证书”获得条件的授予“荣誉证书”，具体要求请见高分子科学系“荣誉项目”实施方案。</w:t>
      </w:r>
    </w:p>
    <w:p>
      <w:pPr>
        <w:spacing w:after="0"/>
        <w:ind w:left="0"/>
        <w:jc w:val="left"/>
      </w:pPr>
      <w:r>
        <w:rPr>
          <w:rFonts w:ascii="SimSun" w:hAnsi="SimSun"/>
          <w:b w:val="false"/>
          <w:i w:val="false"/>
          <w:color w:val="000000"/>
          <w:sz w:val="28"/>
        </w:rPr>
        <w:t>2. 高分子材料与工程+AI学士双学位项目，如达到高分子材料与工程-信息与计算科学（人工智能方向）要求者授予理学-工学双学士学位。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8"/>
        </w:rPr>
        <w:t>1.课程体系</w:t>
      </w:r>
    </w:p>
    <w:p>
      <w:pPr>
        <w:spacing w:after="0"/>
        <w:ind w:left="0"/>
        <w:jc w:val="left"/>
      </w:pPr>
      <w:r>
        <w:rPr>
          <w:rFonts w:ascii="SimSun" w:hAnsi="SimSun"/>
          <w:b w:val="false"/>
          <w:i w:val="false"/>
          <w:color w:val="000000"/>
          <w:sz w:val="28"/>
        </w:rPr>
        <w:t xml:space="preserve">   课程上以荣誉课程为抓手，强化基础理论、交叉和科学实践类课程，建立了本研融通的专业核心课程体系，以学科领域为横、课程内容梯度为纵建立了难度逐级提升的本研融通的专业进阶课程体系。</w:t>
      </w:r>
    </w:p>
    <w:p>
      <w:pPr>
        <w:spacing w:after="0"/>
        <w:ind w:left="0"/>
        <w:jc w:val="left"/>
      </w:pPr>
      <w:r>
        <w:rPr>
          <w:rFonts w:ascii="SimSun" w:hAnsi="SimSun"/>
          <w:b w:val="false"/>
          <w:i w:val="false"/>
          <w:color w:val="000000"/>
          <w:sz w:val="28"/>
        </w:rPr>
        <w:t>2.科研训练体系</w:t>
      </w:r>
    </w:p>
    <w:p>
      <w:pPr>
        <w:spacing w:after="0"/>
        <w:ind w:left="0"/>
        <w:jc w:val="left"/>
      </w:pPr>
      <w:r>
        <w:rPr>
          <w:rFonts w:ascii="SimSun" w:hAnsi="SimSun"/>
          <w:b w:val="false"/>
          <w:i w:val="false"/>
          <w:color w:val="000000"/>
          <w:sz w:val="28"/>
        </w:rPr>
        <w:t xml:space="preserve">   本科阶段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（一）通识教育课程（42学分）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要求修读26学分，含思想政治理论课19学分，七大模块课程6学分（美育学分不少于2学分，同时回避第五模块“科学探索与技术创新”，即修读第五模块将不计入七大模块6个学分中），大学生国家安全教育1学分。</w:t>
      </w:r>
    </w:p>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要求修读16学分。 </w:t>
      </w:r>
    </w:p>
    <w:p>
      <w:pPr>
        <w:spacing w:after="0"/>
        <w:ind w:left="0"/>
        <w:jc w:val="left"/>
      </w:pPr>
      <w:r>
        <w:rPr>
          <w:rFonts w:ascii="SimSun" w:hAnsi="SimSun"/>
          <w:b w:val="false"/>
          <w:i w:val="false"/>
          <w:color w:val="000000"/>
          <w:sz w:val="21"/>
        </w:rPr>
        <w:t>（二）专业培养课程（54学分）</w:t>
      </w:r>
    </w:p>
    <w:p>
      <w:pPr>
        <w:spacing w:after="0"/>
        <w:ind w:left="0"/>
        <w:jc w:val="left"/>
      </w:pPr>
      <w:r>
        <w:rPr>
          <w:rFonts w:ascii="SimSun" w:hAnsi="SimSun"/>
          <w:b w:val="false"/>
          <w:i w:val="false"/>
          <w:color w:val="000000"/>
          <w:sz w:val="21"/>
        </w:rPr>
        <w:t xml:space="preserve">   专业培养课程包括大类基础课程和专业核心教育课程。</w:t>
      </w:r>
    </w:p>
    <w:p>
      <w:pPr>
        <w:spacing w:after="0"/>
        <w:ind w:left="0"/>
        <w:jc w:val="left"/>
      </w:pPr>
      <w:r>
        <w:rPr>
          <w:rFonts w:ascii="SimSun" w:hAnsi="SimSun"/>
          <w:b w:val="false"/>
          <w:i w:val="false"/>
          <w:color w:val="000000"/>
          <w:sz w:val="21"/>
        </w:rPr>
        <w:t>1. 大类基础课程（26学分）</w:t>
      </w:r>
    </w:p>
    <w:p>
      <w:pPr>
        <w:spacing w:after="0"/>
        <w:ind w:left="0"/>
        <w:jc w:val="left"/>
      </w:pPr>
      <w:r>
        <w:rPr>
          <w:rFonts w:ascii="SimSun" w:hAnsi="SimSun"/>
          <w:b w:val="false"/>
          <w:i w:val="false"/>
          <w:color w:val="000000"/>
          <w:sz w:val="21"/>
        </w:rPr>
        <w:t xml:space="preserve">   要求修读自然科学类基础课程26学分。</w:t>
      </w:r>
    </w:p>
    <w:p>
      <w:pPr>
        <w:spacing w:after="0"/>
        <w:ind w:left="0"/>
        <w:jc w:val="left"/>
      </w:pPr>
      <w:r>
        <w:rPr>
          <w:rFonts w:ascii="SimSun" w:hAnsi="SimSun"/>
          <w:b w:val="false"/>
          <w:i w:val="false"/>
          <w:color w:val="000000"/>
          <w:sz w:val="21"/>
        </w:rPr>
        <w:t>2. 专业核心教育课程（28学分）</w:t>
      </w:r>
    </w:p>
    <w:p>
      <w:pPr>
        <w:spacing w:after="0"/>
        <w:ind w:left="0"/>
        <w:jc w:val="left"/>
      </w:pPr>
      <w:r>
        <w:rPr>
          <w:rFonts w:ascii="SimSun" w:hAnsi="SimSun"/>
          <w:b w:val="false"/>
          <w:i w:val="false"/>
          <w:color w:val="000000"/>
          <w:sz w:val="21"/>
        </w:rPr>
        <w:t xml:space="preserve">   要求修读28学分（部分课程学分可用荣誉课程学分替换）。</w:t>
      </w:r>
    </w:p>
    <w:p>
      <w:pPr>
        <w:spacing w:after="0"/>
        <w:ind w:left="0"/>
        <w:jc w:val="left"/>
      </w:pPr>
      <w:r>
        <w:rPr>
          <w:rFonts w:ascii="SimSun" w:hAnsi="SimSun"/>
          <w:b w:val="false"/>
          <w:i w:val="false"/>
          <w:color w:val="000000"/>
          <w:sz w:val="21"/>
        </w:rPr>
        <w:t>（三）多元发展路径课程</w:t>
      </w:r>
    </w:p>
    <w:p>
      <w:pPr>
        <w:spacing w:after="0"/>
        <w:ind w:left="0"/>
        <w:jc w:val="left"/>
      </w:pPr>
      <w:r>
        <w:rPr>
          <w:rFonts w:ascii="SimSun" w:hAnsi="SimSun"/>
          <w:b w:val="false"/>
          <w:i w:val="false"/>
          <w:color w:val="000000"/>
          <w:sz w:val="21"/>
        </w:rPr>
        <w:t xml:space="preserve">   包括专业进阶路径、荣誉项目、跨学科发展路径、高分子材料与工程+AI双学士学位项目，要求在院系专业导师指导下选择1条发展路径，按路径要求修读课程。</w:t>
      </w:r>
    </w:p>
    <w:p>
      <w:pPr>
        <w:spacing w:after="0"/>
        <w:ind w:left="0"/>
        <w:jc w:val="left"/>
      </w:pPr>
      <w:r>
        <w:rPr>
          <w:rFonts w:ascii="SimSun" w:hAnsi="SimSun"/>
          <w:b w:val="false"/>
          <w:i w:val="false"/>
          <w:color w:val="000000"/>
          <w:sz w:val="21"/>
        </w:rPr>
        <w:t>1.专业进阶路径（24学分）</w:t>
      </w:r>
    </w:p>
    <w:p>
      <w:pPr>
        <w:spacing w:after="0"/>
        <w:ind w:left="0"/>
        <w:jc w:val="left"/>
      </w:pPr>
      <w:r>
        <w:rPr>
          <w:rFonts w:ascii="SimSun" w:hAnsi="SimSun"/>
          <w:b w:val="false"/>
          <w:i w:val="false"/>
          <w:color w:val="000000"/>
          <w:sz w:val="21"/>
        </w:rPr>
        <w:t xml:space="preserve">   修满24学分。要求在本专业进阶模块修读24学分。</w:t>
      </w:r>
    </w:p>
    <w:p>
      <w:pPr>
        <w:spacing w:after="0"/>
        <w:ind w:left="0"/>
        <w:jc w:val="left"/>
      </w:pPr>
      <w:r>
        <w:rPr>
          <w:rFonts w:ascii="SimSun" w:hAnsi="SimSun"/>
          <w:b w:val="false"/>
          <w:i w:val="false"/>
          <w:color w:val="000000"/>
          <w:sz w:val="21"/>
        </w:rPr>
        <w:t>2. 荣誉项目（24学分）</w:t>
      </w:r>
    </w:p>
    <w:p>
      <w:pPr>
        <w:spacing w:after="0"/>
        <w:ind w:left="0"/>
        <w:jc w:val="left"/>
      </w:pPr>
      <w:r>
        <w:rPr>
          <w:rFonts w:ascii="SimSun" w:hAnsi="SimSun"/>
          <w:b w:val="false"/>
          <w:i w:val="false"/>
          <w:color w:val="000000"/>
          <w:sz w:val="21"/>
        </w:rPr>
        <w:t xml:space="preserve">      要求修读荣誉课程不低于24学分（不少于6门课，且在高分子化学A(H)、高分子物理(H)、高分子实验(H)、物理化学AII(H)、物理化学AⅢ(H)、有机化学AII (H)、高分子反应工程(H)中至少修读4门），且满足专业进阶模块修读15学分。</w:t>
      </w:r>
    </w:p>
    <w:p>
      <w:pPr>
        <w:spacing w:after="0"/>
        <w:ind w:left="0"/>
        <w:jc w:val="left"/>
      </w:pPr>
      <w:r>
        <w:rPr>
          <w:rFonts w:ascii="SimSun" w:hAnsi="SimSun"/>
          <w:b w:val="false"/>
          <w:i w:val="false"/>
          <w:color w:val="000000"/>
          <w:sz w:val="21"/>
        </w:rPr>
        <w:t>3. 跨学科发展路径（15学分）</w:t>
      </w:r>
    </w:p>
    <w:p>
      <w:pPr>
        <w:spacing w:after="0"/>
        <w:ind w:left="0"/>
        <w:jc w:val="left"/>
      </w:pPr>
      <w:r>
        <w:rPr>
          <w:rFonts w:ascii="SimSun" w:hAnsi="SimSun"/>
          <w:b w:val="false"/>
          <w:i w:val="false"/>
          <w:color w:val="000000"/>
          <w:sz w:val="21"/>
        </w:rPr>
        <w:t xml:space="preserve">   修满15学分。要求在1个非本专业独立开设的学程（微专业）15学分。学程课程详见教务处学程项目网页。</w:t>
      </w:r>
    </w:p>
    <w:p>
      <w:pPr>
        <w:spacing w:after="0"/>
        <w:ind w:left="0"/>
        <w:jc w:val="left"/>
      </w:pPr>
      <w:r>
        <w:rPr>
          <w:rFonts w:ascii="SimSun" w:hAnsi="SimSun"/>
          <w:b w:val="false"/>
          <w:i w:val="false"/>
          <w:color w:val="000000"/>
          <w:sz w:val="21"/>
        </w:rPr>
        <w:t>4.  高分子材料与工程+AI双学士学位项目</w:t>
      </w:r>
    </w:p>
    <w:p>
      <w:pPr>
        <w:spacing w:after="0"/>
        <w:ind w:left="0"/>
        <w:jc w:val="left"/>
      </w:pPr>
      <w:r>
        <w:rPr>
          <w:rFonts w:ascii="SimSun" w:hAnsi="SimSun"/>
          <w:b w:val="false"/>
          <w:i w:val="false"/>
          <w:color w:val="000000"/>
          <w:sz w:val="21"/>
        </w:rPr>
        <w:t xml:space="preserve">    本路径学生必须修满教学计划规定的178学分，包括通识教育课程41学分、专业培养课程113学分、专业进阶模块修读24学分。具体要求见高分子材料与工程-信息与计算科学（人工智能方向）双学士学位项目培养方案。 </w:t>
      </w:r>
    </w:p>
    <w:p>
      <w:pPr>
        <w:spacing w:after="0"/>
        <w:ind w:left="0"/>
        <w:jc w:val="left"/>
      </w:pPr>
      <w:r>
        <w:rPr>
          <w:rFonts w:ascii="SimSun" w:hAnsi="SimSun"/>
          <w:b w:val="false"/>
          <w:i w:val="false"/>
          <w:color w:val="000000"/>
          <w:sz w:val="21"/>
        </w:rPr>
        <w:t>5.  辅修学士学位路径</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w:t>
      </w:r>
    </w:p>
    <w:p>
      <w:pPr>
        <w:spacing w:after="0"/>
        <w:ind w:left="0"/>
        <w:jc w:val="left"/>
      </w:pPr>
      <w:r>
        <w:rPr>
          <w:rFonts w:ascii="SimSun" w:hAnsi="SimSun"/>
          <w:b w:val="false"/>
          <w:i w:val="false"/>
          <w:color w:val="000000"/>
          <w:sz w:val="21"/>
        </w:rPr>
        <w:t>6.创新创业路径</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w:t>
      </w:r>
    </w:p>
    <w:p>
      <w:pPr>
        <w:spacing w:after="0"/>
        <w:ind w:left="0"/>
        <w:jc w:val="left"/>
      </w:pPr>
      <w:r>
        <w:rPr>
          <w:rFonts w:ascii="SimSun" w:hAnsi="SimSun"/>
          <w:b w:val="false"/>
          <w:i w:val="false"/>
          <w:color w:val="000000"/>
          <w:sz w:val="21"/>
        </w:rPr>
        <w:t>（四）融合创新能力培养模块（21学分）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3"/>
        <w:gridCol w:w="2715"/>
        <w:gridCol w:w="676"/>
        <w:gridCol w:w="679"/>
        <w:gridCol w:w="945"/>
        <w:gridCol w:w="1585"/>
        <w:gridCol w:w="679"/>
        <w:gridCol w:w="677"/>
        <w:gridCol w:w="677"/>
        <w:gridCol w:w="677"/>
        <w:gridCol w:w="946"/>
        <w:gridCol w:w="1355"/>
      </w:tblGrid>
      <w:tr>
        <w:trPr>
          <w:trHeight w:val="45" w:hRule="atLeast"/>
        </w:trPr>
        <w:tc>
          <w:tcPr>
            <w:tcW w:w="20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3"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MASE20001</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10选5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化工原理</w:t>
            </w:r>
            <w:r>
              <w:br/>
            </w:r>
            <w:r>
              <w:br/>
            </w:r>
            <w:r>
              <w:rPr>
                <w:rFonts w:ascii="SimSun" w:hAnsi="SimSun"/>
                <w:b w:val="false"/>
                <w:i w:val="false"/>
                <w:color w:val="000000"/>
                <w:sz w:val="21"/>
              </w:rPr>
              <w:t>Principles of Chemical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多元发展包括专业进阶（含荣誉项目）、跨学科发展（含辅修学士学位项目）和创新创业等不同路径，学生可基于个性化成长需求，选择1条发展路径，按路径要求修读课程。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或荣誉课程中修读至少24学分（其中专业进阶I修读15学分，专业进阶II至少修读9学分）。此路径为本专业领域核心路径。完成专业进阶路径修读要求的学生，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或荣誉课程中修读至少24学分（其中专业进阶I修读15学分，专业进阶II至少修读9学分）。此路径为本专业领域核心路径。完成专业进阶路径修读要求的学生，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专业进阶模块课程设置如下：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高分子建模与设计</w:t>
            </w:r>
            <w:r>
              <w:br/>
            </w:r>
            <w:r>
              <w:br/>
            </w:r>
            <w:r>
              <w:rPr>
                <w:rFonts w:ascii="SimSun" w:hAnsi="SimSun"/>
                <w:b w:val="false"/>
                <w:i w:val="false"/>
                <w:color w:val="000000"/>
                <w:sz w:val="21"/>
              </w:rPr>
              <w:t>Model and Design of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学术伦理、科技写作与科技沟通</w:t>
            </w:r>
            <w:r>
              <w:br/>
            </w:r>
            <w:r>
              <w:br/>
            </w:r>
            <w:r>
              <w:rPr>
                <w:rFonts w:ascii="SimSun" w:hAnsi="SimSun"/>
                <w:b w:val="false"/>
                <w:i w:val="false"/>
                <w:color w:val="000000"/>
                <w:sz w:val="21"/>
              </w:rPr>
              <w:t>Academic Ethics, Writing and Communication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高分子结构材料</w:t>
            </w:r>
            <w:r>
              <w:br/>
            </w:r>
            <w:r>
              <w:br/>
            </w:r>
            <w:r>
              <w:rPr>
                <w:rFonts w:ascii="SimSun" w:hAnsi="SimSun"/>
                <w:b w:val="false"/>
                <w:i w:val="false"/>
                <w:color w:val="000000"/>
                <w:sz w:val="21"/>
              </w:rPr>
              <w:t>Polymeric Structural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高分子功能材料</w:t>
            </w:r>
            <w:r>
              <w:br/>
            </w:r>
            <w:r>
              <w:br/>
            </w:r>
            <w:r>
              <w:rPr>
                <w:rFonts w:ascii="SimSun" w:hAnsi="SimSun"/>
                <w:b w:val="false"/>
                <w:i w:val="false"/>
                <w:color w:val="000000"/>
                <w:sz w:val="21"/>
              </w:rPr>
              <w:t>Polymer Functional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高分子加工原理</w:t>
            </w:r>
            <w:r>
              <w:br/>
            </w:r>
            <w:r>
              <w:br/>
            </w:r>
            <w:r>
              <w:rPr>
                <w:rFonts w:ascii="SimSun" w:hAnsi="SimSun"/>
                <w:b w:val="false"/>
                <w:i w:val="false"/>
                <w:color w:val="000000"/>
                <w:sz w:val="21"/>
              </w:rPr>
              <w:t>Principles of Polymer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人工智能赋能高分子科学</w:t>
            </w:r>
            <w:r>
              <w:br/>
            </w:r>
            <w:r>
              <w:br/>
            </w:r>
            <w:r>
              <w:rPr>
                <w:rFonts w:ascii="SimSun" w:hAnsi="SimSun"/>
                <w:b w:val="false"/>
                <w:i w:val="false"/>
                <w:color w:val="000000"/>
                <w:sz w:val="21"/>
              </w:rPr>
              <w:t>AI for Polymer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高分子发展史</w:t>
            </w:r>
            <w:r>
              <w:br/>
            </w:r>
            <w:r>
              <w:br/>
            </w:r>
            <w:r>
              <w:rPr>
                <w:rFonts w:ascii="SimSun" w:hAnsi="SimSun"/>
                <w:b w:val="false"/>
                <w:i w:val="false"/>
                <w:color w:val="000000"/>
                <w:sz w:val="21"/>
              </w:rPr>
              <w:t>History of Polymer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高等高分子化学</w:t>
            </w:r>
            <w:r>
              <w:br/>
            </w:r>
            <w:r>
              <w:br/>
            </w:r>
            <w:r>
              <w:rPr>
                <w:rFonts w:ascii="SimSun" w:hAnsi="SimSun"/>
                <w:b w:val="false"/>
                <w:i w:val="false"/>
                <w:color w:val="000000"/>
                <w:sz w:val="21"/>
              </w:rPr>
              <w:t>Advanced Polymer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合成高分子:更好的世界</w:t>
            </w:r>
            <w:r>
              <w:br/>
            </w:r>
            <w:r>
              <w:br/>
            </w:r>
            <w:r>
              <w:rPr>
                <w:rFonts w:ascii="SimSun" w:hAnsi="SimSun"/>
                <w:b w:val="false"/>
                <w:i w:val="false"/>
                <w:color w:val="000000"/>
                <w:sz w:val="21"/>
              </w:rPr>
              <w:t>Synthesis of Polymers for A Better World</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高等高分子物理</w:t>
            </w:r>
            <w:r>
              <w:br/>
            </w:r>
            <w:r>
              <w:br/>
            </w:r>
            <w:r>
              <w:rPr>
                <w:rFonts w:ascii="SimSun" w:hAnsi="SimSun"/>
                <w:b w:val="false"/>
                <w:i w:val="false"/>
                <w:color w:val="000000"/>
                <w:sz w:val="21"/>
              </w:rPr>
              <w:t>Advanced Polymer Physics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荣誉项目课程设置和修读要求请见高分子科学系本科“荣誉项目”实施方案。下载地址：https://jwc.fudan.edu.cn/（复旦大学教务处）专业培养-常用文档。荣誉项目路径优先获得高分子科学系推免资格。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荣誉项目课程组</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53"/>
        <w:gridCol w:w="787"/>
        <w:gridCol w:w="787"/>
        <w:gridCol w:w="1103"/>
        <w:gridCol w:w="1970"/>
        <w:gridCol w:w="788"/>
        <w:gridCol w:w="788"/>
        <w:gridCol w:w="788"/>
        <w:gridCol w:w="788"/>
        <w:gridCol w:w="1104"/>
        <w:gridCol w:w="1578"/>
      </w:tblGrid>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高分子化学A(H)</w:t>
            </w:r>
            <w:r>
              <w:br/>
            </w:r>
            <w:r>
              <w:br/>
            </w:r>
            <w:r>
              <w:rPr>
                <w:rFonts w:ascii="SimSun" w:hAnsi="SimSun"/>
                <w:b w:val="false"/>
                <w:i w:val="false"/>
                <w:color w:val="000000"/>
                <w:sz w:val="21"/>
              </w:rPr>
              <w:t>Polymer Chemistry A(H)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高分子物理(H)</w:t>
            </w:r>
            <w:r>
              <w:br/>
            </w:r>
            <w:r>
              <w:br/>
            </w:r>
            <w:r>
              <w:rPr>
                <w:rFonts w:ascii="SimSun" w:hAnsi="SimSun"/>
                <w:b w:val="false"/>
                <w:i w:val="false"/>
                <w:color w:val="000000"/>
                <w:sz w:val="21"/>
              </w:rPr>
              <w:t>Polymer Physics(H)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高分子实验(H)</w:t>
            </w:r>
            <w:r>
              <w:br/>
            </w:r>
            <w:r>
              <w:br/>
            </w:r>
            <w:r>
              <w:rPr>
                <w:rFonts w:ascii="SimSun" w:hAnsi="SimSun"/>
                <w:b w:val="false"/>
                <w:i w:val="false"/>
                <w:color w:val="000000"/>
                <w:sz w:val="21"/>
              </w:rPr>
              <w:t>Polymer Experiments(H)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 II(H)</w:t>
            </w:r>
            <w:r>
              <w:br/>
            </w:r>
            <w:r>
              <w:br/>
            </w:r>
            <w:r>
              <w:rPr>
                <w:rFonts w:ascii="SimSun" w:hAnsi="SimSun"/>
                <w:b w:val="false"/>
                <w:i w:val="false"/>
                <w:color w:val="000000"/>
                <w:sz w:val="21"/>
              </w:rPr>
              <w:t>Physical Chemistry A II(H)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 III(H)</w:t>
            </w:r>
            <w:r>
              <w:br/>
            </w:r>
            <w:r>
              <w:br/>
            </w:r>
            <w:r>
              <w:rPr>
                <w:rFonts w:ascii="SimSun" w:hAnsi="SimSun"/>
                <w:b w:val="false"/>
                <w:i w:val="false"/>
                <w:color w:val="000000"/>
                <w:sz w:val="21"/>
              </w:rPr>
              <w:t>Physical Chemistry A III(H)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 (H)</w:t>
            </w:r>
            <w:r>
              <w:br/>
            </w:r>
            <w:r>
              <w:br/>
            </w:r>
            <w:r>
              <w:rPr>
                <w:rFonts w:ascii="SimSun" w:hAnsi="SimSun"/>
                <w:b w:val="false"/>
                <w:i w:val="false"/>
                <w:color w:val="000000"/>
                <w:sz w:val="21"/>
              </w:rPr>
              <w:t>Organic Chemistry A II (H)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高分子反应工程(H)</w:t>
            </w:r>
            <w:r>
              <w:br/>
            </w:r>
            <w:r>
              <w:br/>
            </w:r>
            <w:r>
              <w:rPr>
                <w:rFonts w:ascii="SimSun" w:hAnsi="SimSun"/>
                <w:b w:val="false"/>
                <w:i w:val="false"/>
                <w:color w:val="000000"/>
                <w:sz w:val="21"/>
              </w:rPr>
              <w:t>Polymer Reaction Engineering(H)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热力学与统计物理I(H)</w:t>
            </w:r>
            <w:r>
              <w:br/>
            </w:r>
            <w:r>
              <w:br/>
            </w:r>
            <w:r>
              <w:rPr>
                <w:rFonts w:ascii="SimSun" w:hAnsi="SimSun"/>
                <w:b w:val="false"/>
                <w:i w:val="false"/>
                <w:color w:val="000000"/>
                <w:sz w:val="21"/>
              </w:rPr>
              <w:t>Thermodynamics and Statistical Physics I(H)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PHYS130007h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数学物理方法A(H)</w:t>
            </w:r>
            <w:r>
              <w:br/>
            </w:r>
            <w:r>
              <w:br/>
            </w:r>
            <w:r>
              <w:rPr>
                <w:rFonts w:ascii="SimSun" w:hAnsi="SimSun"/>
                <w:b w:val="false"/>
                <w:i w:val="false"/>
                <w:color w:val="000000"/>
                <w:sz w:val="21"/>
              </w:rPr>
              <w:t>Methods of Mathematical Physics A(H)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Biochemistry (H)</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BIOL30024h</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高等高分子化学(H)</w:t>
            </w:r>
            <w:r>
              <w:br/>
            </w:r>
            <w:r>
              <w:br/>
            </w:r>
            <w:r>
              <w:rPr>
                <w:rFonts w:ascii="SimSun" w:hAnsi="SimSun"/>
                <w:b w:val="false"/>
                <w:i w:val="false"/>
                <w:color w:val="000000"/>
                <w:sz w:val="21"/>
              </w:rPr>
              <w:t>Advanced Polymer Chemistry(H)</w:t>
            </w:r>
          </w:p>
        </w:tc>
        <w:tc>
          <w:tcPr>
            <w:tcW w:w="7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MASE60001h</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可选两种路径：①要求修读专业进阶I（15学分）课程以及1个非本专业独立开设的完整学程，若学分不足，可用任意选修补足。②要求修读2个非本专业独立开设的完整学程，可选择专业学程或跨学科学程，若学分不足，可用任意选修学分补足。
       </w:t>
      </w:r>
      <w:r>
        <w:br/>
      </w:r>
      <w:r>
        <w:rPr>
          <w:rFonts w:ascii="SimSun" w:hAnsi="SimSun"/>
          <w:b w:val="false"/>
          <w:i w:val="false"/>
          <w:color w:val="000000"/>
          <w:sz w:val="21"/>
        </w:rPr>
        <w:t xml:space="preserve">
       </w:t>
      </w:r>
      <w:r>
        <w:br/>
      </w:r>
      <w:r>
        <w:rPr>
          <w:rFonts w:ascii="SimSun" w:hAnsi="SimSun"/>
          <w:b w:val="false"/>
          <w:i w:val="false"/>
          <w:color w:val="000000"/>
          <w:sz w:val="21"/>
        </w:rPr>
        <w:t xml:space="preserve">    保研条件：完成跨学科发展路径①，需修读1个自然科学类学程，才可以向高分子科学系申请推免直研资格。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完成创新创业路径的学生，不能向高分子科学系申请推免直研资格，高分子科学系不为其提供专业排名。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在主修专业的学士学位证书中获得相应辅修学士学位注记。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完成辅修学士学位路径的学生，辅修专业为自然科学大类的，可以向高分子科学系申请推免直研资格。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选择多元发展课程模块和学程时，专业进阶课程模块和辅修学士学位项目可以冲抵学程，专业培养和多元发展路径共享的课程只计算一次学分。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高分子实验</w:t>
            </w:r>
            <w:r>
              <w:br/>
            </w:r>
            <w:r>
              <w:br/>
            </w:r>
            <w:r>
              <w:rPr>
                <w:rFonts w:ascii="SimSun" w:hAnsi="SimSun"/>
                <w:b w:val="false"/>
                <w:i w:val="false"/>
                <w:color w:val="000000"/>
                <w:sz w:val="21"/>
              </w:rPr>
              <w:t>Polymer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高分子学术前沿讲座</w:t>
            </w:r>
            <w:r>
              <w:br/>
            </w:r>
            <w:r>
              <w:br/>
            </w:r>
            <w:r>
              <w:rPr>
                <w:rFonts w:ascii="SimSun" w:hAnsi="SimSun"/>
                <w:b w:val="false"/>
                <w:i w:val="false"/>
                <w:color w:val="000000"/>
                <w:sz w:val="21"/>
              </w:rPr>
              <w:t>Lectures on Latest in Polymer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Training in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 Course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