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2025级电子信息科学与技术（空间信息与数字技术方向）专业本科培养方案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空间信息与数字技术方向重点面向卫星互联网、人工智能赋能通信领域，培养具有全球视野和创新精神的杰出人才，引领未来科技发展。</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本专业培养德智体美劳全面发展，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重点培养学生在空间互联网以及人工智能技术应用等方面的专业知识和创新能力，成为推动空间信息与数字技术领域发展的中坚力量。</w:t>
      </w:r>
      <w:r>
        <w:br/>
      </w:r>
      <w:r>
        <w:br/>
      </w:r>
      <w:r>
        <w:rPr>
          <w:rFonts w:ascii="SimSun" w:hAnsi="SimSun"/>
          <w:b w:val="false"/>
          <w:i w:val="false"/>
          <w:color w:val="000000"/>
          <w:sz w:val="21"/>
        </w:rPr>
        <w:t xml:space="preserve">  要求学生具有良好素质、道德修养和创新能力，具有扎实的数学、物理、外语基础，掌握电子信息科学与技术、计算机科学与技术等方面的基本理论、基本知识和基本技能与方法，具有本学科及跨学科的应用研究与技术开发的基本能力及适应社会需求的能力。毕业生应具备良好的创新思维、实践能力和国际视野，能够在复杂工程实践中解决实际问题。</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25"/>
        <w:gridCol w:w="945"/>
        <w:gridCol w:w="1144"/>
        <w:gridCol w:w="1145"/>
        <w:gridCol w:w="1825"/>
        <w:gridCol w:w="1265"/>
        <w:gridCol w:w="1442"/>
        <w:gridCol w:w="1444"/>
        <w:gridCol w:w="1114"/>
        <w:gridCol w:w="1114"/>
        <w:gridCol w:w="1117"/>
      </w:tblGrid>
      <w:tr>
        <w:trPr>
          <w:trHeight w:val="480" w:hRule="atLeast"/>
        </w:trPr>
        <w:tc>
          <w:tcPr>
            <w:tcW w:w="31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10" w:hRule="atLeast"/>
        </w:trPr>
        <w:tc>
          <w:tcPr>
            <w:tcW w:w="31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9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8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电子信息科学与技术（空间信息与数字技术方向）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147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专业培养课程68学分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专业进阶模块21学分</w:t>
            </w:r>
          </w:p>
        </w:tc>
      </w:tr>
      <w:tr>
        <w:trPr>
          <w:trHeight w:val="120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融合创新能力培养16学分</w:t>
            </w:r>
          </w:p>
        </w:tc>
      </w:tr>
      <w:tr>
        <w:trPr>
          <w:trHeight w:val="237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860800"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60800" cy="14054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1、专业进阶路径：147学分</w:t>
      </w:r>
    </w:p>
    <w:p>
      <w:pPr>
        <w:spacing w:after="0"/>
        <w:ind w:left="0"/>
        <w:jc w:val="left"/>
      </w:pPr>
      <w:r>
        <w:rPr>
          <w:rFonts w:ascii="SimSun" w:hAnsi="SimSun"/>
          <w:b w:val="false"/>
          <w:i w:val="false"/>
          <w:color w:val="000000"/>
          <w:sz w:val="21"/>
        </w:rPr>
        <w:t xml:space="preserve">  本路径学生需要完成147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42学分、专业培养课程68学分、专业进阶模块修读21学分、融合创新能力培养16学分。</w:t>
      </w:r>
    </w:p>
    <w:p>
      <w:pPr>
        <w:spacing w:after="0"/>
        <w:ind w:left="0"/>
        <w:jc w:val="left"/>
      </w:pPr>
      <w:r>
        <w:rPr>
          <w:rFonts w:ascii="SimSun" w:hAnsi="SimSun"/>
          <w:b w:val="false"/>
          <w:i w:val="false"/>
          <w:color w:val="000000"/>
          <w:sz w:val="21"/>
        </w:rPr>
        <w:t>2、荣誉项目：153学分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3、跨学科发展路径：162学分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4、电子信息科学与技术+AI人工智能双学士学位项目：190学分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通识教育课程包括通识教育核心课程和专项教育课程；专业培养课程包括大类基础课程和专业核心教育课程，并设立了荣誉课程可供修读。</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无学分讨论班，引导学生早进课题组轮转，培育兴趣。3-4年级在各研究小组开展科研实践训练，深度参与实验室科研项目，推荐完成1项复芏计划（FDUROP）项目（䇹政、望道、登辉和曦源），激发创新志趣。</w:t>
      </w:r>
    </w:p>
    <w:p>
      <w:pPr>
        <w:spacing w:after="0"/>
        <w:ind w:left="0"/>
        <w:jc w:val="left"/>
      </w:pPr>
      <w:r>
        <w:rPr>
          <w:rFonts w:ascii="SimSun" w:hAnsi="SimSun"/>
          <w:b w:val="false"/>
          <w:i w:val="false"/>
          <w:color w:val="000000"/>
          <w:sz w:val="21"/>
        </w:rPr>
        <w:t xml:space="preserve"> </w:t>
      </w:r>
      <w:r>
        <w:drawing>
          <wp:inline distT="0" distB="0" distL="0" distR="0">
            <wp:extent cx="4504267" cy="2353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04267" cy="23537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259"/>
        <w:gridCol w:w="1172"/>
        <w:gridCol w:w="1289"/>
        <w:gridCol w:w="1313"/>
        <w:gridCol w:w="2463"/>
        <w:gridCol w:w="1501"/>
        <w:gridCol w:w="1008"/>
        <w:gridCol w:w="1173"/>
        <w:gridCol w:w="1548"/>
        <w:gridCol w:w="1337"/>
        <w:gridCol w:w="1737"/>
      </w:tblGrid>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246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46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46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46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46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46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46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见思想政治理论课模块课程列表</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1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46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见核心课程七大模块课程列表（回避第五模块）</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325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7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28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1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46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150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17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3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253"/>
        <w:gridCol w:w="1147"/>
        <w:gridCol w:w="1264"/>
        <w:gridCol w:w="1451"/>
        <w:gridCol w:w="2270"/>
        <w:gridCol w:w="1545"/>
        <w:gridCol w:w="1006"/>
        <w:gridCol w:w="1287"/>
        <w:gridCol w:w="1428"/>
        <w:gridCol w:w="1616"/>
        <w:gridCol w:w="1593"/>
      </w:tblGrid>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26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7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14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45" w:hRule="atLeast"/>
        </w:trPr>
        <w:tc>
          <w:tcPr>
            <w:tcW w:w="32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14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2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70"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5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0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28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42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1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要求修读38学分（选修荣誉课程学分数每门加1分）。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IST20002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数据结构与算法设计（H）</w:t>
            </w:r>
            <w:r>
              <w:br/>
            </w:r>
            <w:r>
              <w:br/>
            </w:r>
            <w:r>
              <w:rPr>
                <w:rFonts w:ascii="SimSun" w:hAnsi="SimSun"/>
                <w:b w:val="false"/>
                <w:i w:val="false"/>
                <w:color w:val="000000"/>
                <w:sz w:val="21"/>
              </w:rPr>
              <w:t>Data Structures and Algorithm Design (H)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荣誉课程</w:t>
            </w: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可选荣誉课程《通信原理（H）》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修满21学分。其中专业进阶I修读9学分，专业进阶II修读12学分。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IST30007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空天信息导论</w:t>
            </w:r>
            <w:r>
              <w:br/>
            </w:r>
            <w:r>
              <w:br/>
            </w:r>
            <w:r>
              <w:rPr>
                <w:rFonts w:ascii="SimSun" w:hAnsi="SimSun"/>
                <w:b w:val="false"/>
                <w:i w:val="false"/>
                <w:color w:val="000000"/>
                <w:sz w:val="21"/>
              </w:rPr>
              <w:t>Introduction of Space Information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计算机通信与网络</w:t>
            </w:r>
            <w:r>
              <w:br/>
            </w:r>
            <w:r>
              <w:br/>
            </w:r>
            <w:r>
              <w:rPr>
                <w:rFonts w:ascii="SimSun" w:hAnsi="SimSun"/>
                <w:b w:val="false"/>
                <w:i w:val="false"/>
                <w:color w:val="000000"/>
                <w:sz w:val="21"/>
              </w:rPr>
              <w:t>Computer 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卫星互联网</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互联网体系结构</w:t>
            </w:r>
            <w:r>
              <w:br/>
            </w:r>
            <w:r>
              <w:br/>
            </w:r>
            <w:r>
              <w:rPr>
                <w:rFonts w:ascii="SimSun" w:hAnsi="SimSun"/>
                <w:b w:val="false"/>
                <w:i w:val="false"/>
                <w:color w:val="000000"/>
                <w:sz w:val="21"/>
              </w:rPr>
              <w:t>Internet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遥感原理与技术</w:t>
            </w:r>
            <w:r>
              <w:br/>
            </w:r>
            <w:r>
              <w:br/>
            </w:r>
            <w:r>
              <w:rPr>
                <w:rFonts w:ascii="SimSun" w:hAnsi="SimSun"/>
                <w:b w:val="false"/>
                <w:i w:val="false"/>
                <w:color w:val="000000"/>
                <w:sz w:val="21"/>
              </w:rPr>
              <w:t>Remote Sensing Technology and Its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无线通信</w:t>
            </w:r>
            <w:r>
              <w:br/>
            </w:r>
            <w:r>
              <w:br/>
            </w:r>
            <w:r>
              <w:rPr>
                <w:rFonts w:ascii="SimSun" w:hAnsi="SimSun"/>
                <w:b w:val="false"/>
                <w:i w:val="false"/>
                <w:color w:val="000000"/>
                <w:sz w:val="21"/>
              </w:rPr>
              <w:t>Wireless Communications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人工智能赋能通信</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面向大模型的编程与并行学习算法</w:t>
            </w:r>
            <w:r>
              <w:br/>
            </w:r>
            <w:r>
              <w:br/>
            </w:r>
            <w:r>
              <w:rPr>
                <w:rFonts w:ascii="SimSun" w:hAnsi="SimSun"/>
                <w:b w:val="false"/>
                <w:i w:val="false"/>
                <w:color w:val="000000"/>
                <w:sz w:val="21"/>
              </w:rPr>
              <w:t>Programming and Parallel Machine Learning Algorithms for Large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智能通信导论</w:t>
            </w:r>
            <w:r>
              <w:br/>
            </w:r>
            <w:r>
              <w:br/>
            </w:r>
            <w:r>
              <w:rPr>
                <w:rFonts w:ascii="SimSun" w:hAnsi="SimSun"/>
                <w:b w:val="false"/>
                <w:i w:val="false"/>
                <w:color w:val="000000"/>
                <w:sz w:val="21"/>
              </w:rPr>
              <w:t>Introduction to Intelligent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天线原理</w:t>
            </w:r>
            <w:r>
              <w:br/>
            </w:r>
            <w:r>
              <w:br/>
            </w:r>
            <w:r>
              <w:rPr>
                <w:rFonts w:ascii="SimSun" w:hAnsi="SimSun"/>
                <w:b w:val="false"/>
                <w:i w:val="false"/>
                <w:color w:val="000000"/>
                <w:sz w:val="21"/>
              </w:rPr>
              <w:t>Antenna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修满27学分。要求修读荣誉课程不低于24学分（不少于6门课），且满足专业进阶模块I修读9学分、专业进阶模块II修读12学分。专业进阶模块I若有多修读学分，其可替代专业进阶模块II学分。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修满36学分。要求在本专业专业进阶模块I修读9学分、专业进阶模块II修读12学分、1个非本专业独立开设的学程15学分。专业进阶模块I若有多修读学分，其可替代专业进阶模块II学分。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修满36学分。要求在本专业专业进阶模块I修读9学分、专业进阶模块II修读12学分、1个创新创业学程15学分。专业进阶模块I若有多修读学分，其可替代专业进阶模块II学分。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9学分、专业进阶模块II修读12学分、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教学与科研融合的实验教学体系，在专业核心课程的基础上，融合科研场景需求，在解决复杂问题的过程中培养实验技能，激发批判性思维和科研潜力。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前沿讲座和无学分讨论班，引导学生早进课题组轮转，培育兴趣。3年级和4年级，通过无学分科研实践，深度参与课题组的科研实践训练，激发创新志趣，并推荐（非强制）完成1项复芏计划（FDUROP）项目（䇹政、望道、登辉和曦源）。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通信与信息系统实验B</w:t>
            </w:r>
            <w:r>
              <w:br/>
            </w:r>
            <w:r>
              <w:br/>
            </w:r>
            <w:r>
              <w:rPr>
                <w:rFonts w:ascii="SimSun" w:hAnsi="SimSun"/>
                <w:b w:val="false"/>
                <w:i w:val="false"/>
                <w:color w:val="000000"/>
                <w:sz w:val="21"/>
              </w:rPr>
              <w:t>Communication and Information Systems Experiment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r>
              <w:rPr>
                <w:rFonts w:ascii="SimSun" w:hAnsi="SimSun"/>
                <w:b w:val="false"/>
                <w:i w:val="false"/>
                <w:color w:val="000000"/>
                <w:sz w:val="21"/>
              </w:rPr>
              <w:t>Frontiers in Information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第3、4学期，需在各研究方向（卫星互联网、人工智能赋能通信）的无学分讨论班轮转，学期结束需获得相应方向讨论班老师签字确认。</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-8学期，在各研究小组开展科学研究，开展学术伦理，科研方法训练，并鼓励参与国内外学术交流，了解国际学术前沿，毕业设计需以参与研究小组的题目为基础。并推荐承担1项复芏计划（FDUROP）项目（䇹政、望道、登辉和曦源），详见复旦大学本科生学术研究资助计划管理办法。鼓励参加国内国际高水平创新竞赛</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