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国际关系与公共事务学院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2025国际政治专业-本科培养方案（普通学生适用）</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复旦大学国际关系与公共事务学院成立于2000年11月，前身为1923年建立的复旦大学政治学系。百年政心赓续，问道政学、作育国士。目前拥有政治学和公共管理两个国家A类学科，是国家“双一流”学科建设单位，在世界大学专业排名中稳居前列。秉承“卓越为公”理念，培养新时代具有全球视野、国家意识和专业才能的领军人才。</w:t>
      </w:r>
      <w:r>
        <w:br/>
      </w:r>
      <w:r>
        <w:br/>
      </w:r>
      <w:r>
        <w:rPr>
          <w:rFonts w:ascii="SimSun" w:hAnsi="SimSun"/>
          <w:b w:val="false"/>
          <w:i w:val="false"/>
          <w:color w:val="000000"/>
          <w:sz w:val="21"/>
        </w:rPr>
        <w:t>国际政治专业为国家级一流本科建设专业，主要方向包括：国际关系理论、大国战略和大国关系、中国对外战略和对外关系、国际安全与国家安全、全球治理与国际组织、全球发展、宗教与国际关系、美国研究、欧洲研究、亚太研究、金砖国家与全球南方等。</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本专业秉持“宽口径、厚基础、重能力、求创新”的人才培养理念，构建“2+X+Y”特色培养模式（“2”为通识教育与专业基础教育，“X”为多元发展路径，“Y”为融合创新能力培养），致力于培养德智体美劳全面发展的高素质复合型人才。通过系统的专业教育，毕业生将具备扎实的马克思主义理论素养、国际政治理论功底和较强的实践能力，能够在党政机关、企事业单位、社会团体从事外交外事、国际传播和行政管理等工作</w:t>
      </w:r>
    </w:p>
    <w:p>
      <w:pPr>
        <w:spacing w:after="0"/>
        <w:ind w:left="0"/>
        <w:jc w:val="left"/>
      </w:pPr>
      <w:r>
        <w:rPr>
          <w:rFonts w:ascii="SimSun" w:hAnsi="SimSun"/>
          <w:b/>
          <w:i w:val="false"/>
          <w:color w:val="000000"/>
          <w:sz w:val="24"/>
        </w:rPr>
        <w:t xml:space="preserve">
       三.    基本要求
      </w:t>
      </w:r>
    </w:p>
    <w:p>
      <w:pPr>
        <w:spacing w:after="0"/>
        <w:ind w:left="0"/>
        <w:jc w:val="left"/>
      </w:pPr>
      <w:r>
        <w:rPr>
          <w:rFonts w:ascii="SimSun" w:hAnsi="SimSun"/>
          <w:b w:val="false"/>
          <w:i w:val="false"/>
          <w:color w:val="000000"/>
          <w:sz w:val="21"/>
        </w:rPr>
        <w:t>培养标准：</w:t>
      </w:r>
      <w:r>
        <w:br/>
      </w:r>
      <w:r>
        <w:br/>
      </w:r>
      <w:r>
        <w:rPr>
          <w:rFonts w:ascii="SimSun" w:hAnsi="SimSun"/>
          <w:b w:val="false"/>
          <w:i w:val="false"/>
          <w:color w:val="000000"/>
          <w:sz w:val="21"/>
        </w:rPr>
        <w:t>（1）具有本学科扎实的理论基础。</w:t>
      </w:r>
      <w:r>
        <w:br/>
      </w:r>
      <w:r>
        <w:br/>
      </w:r>
      <w:r>
        <w:rPr>
          <w:rFonts w:ascii="SimSun" w:hAnsi="SimSun"/>
          <w:b w:val="false"/>
          <w:i w:val="false"/>
          <w:color w:val="000000"/>
          <w:sz w:val="21"/>
        </w:rPr>
        <w:t>（2）能参与设计并完成具有理论价值和现实意义的专题研究。</w:t>
      </w:r>
      <w:r>
        <w:br/>
      </w:r>
      <w:r>
        <w:br/>
      </w:r>
      <w:r>
        <w:rPr>
          <w:rFonts w:ascii="SimSun" w:hAnsi="SimSun"/>
          <w:b w:val="false"/>
          <w:i w:val="false"/>
          <w:color w:val="000000"/>
          <w:sz w:val="21"/>
        </w:rPr>
        <w:t>（3）具备较强的实证调研能力和学术写作能力。</w:t>
      </w:r>
      <w:r>
        <w:br/>
      </w:r>
      <w:r>
        <w:br/>
      </w:r>
      <w:r>
        <w:rPr>
          <w:rFonts w:ascii="SimSun" w:hAnsi="SimSun"/>
          <w:b w:val="false"/>
          <w:i w:val="false"/>
          <w:color w:val="000000"/>
          <w:sz w:val="21"/>
        </w:rPr>
        <w:t>（4）熟练运用一门外语进行专业文献研读。</w:t>
      </w:r>
      <w:r>
        <w:br/>
      </w:r>
      <w:r>
        <w:br/>
      </w:r>
      <w:r>
        <w:rPr>
          <w:rFonts w:ascii="SimSun" w:hAnsi="SimSun"/>
          <w:b w:val="false"/>
          <w:i w:val="false"/>
          <w:color w:val="000000"/>
          <w:sz w:val="21"/>
        </w:rPr>
        <w:t>培养模式：实行"导师负责制"，充分发挥导师的学术引领作用；采用"理论学习+科研实践"的双轨培养模式，推行研讨式、案例式等互动教学方法，强化课内外实践环节的有机结合；坚持因材施教与过程考核并重。</w:t>
      </w:r>
    </w:p>
    <w:p>
      <w:pPr>
        <w:spacing w:after="0"/>
        <w:ind w:left="0"/>
        <w:jc w:val="left"/>
      </w:pPr>
      <w:r>
        <w:drawing>
          <wp:inline distT="0" distB="0" distL="0" distR="0">
            <wp:extent cx="5486400" cy="12192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486400" cy="12192000"/>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p>
    <w:p>
      <w:pPr>
        <w:spacing w:after="0"/>
        <w:ind w:left="0"/>
        <w:jc w:val="left"/>
      </w:pPr>
      <w:r>
        <w:rPr>
          <w:rFonts w:ascii="SimSun" w:hAnsi="SimSun"/>
          <w:b/>
          <w:i w:val="false"/>
          <w:color w:val="000000"/>
          <w:sz w:val="24"/>
        </w:rPr>
        <w:t xml:space="preserve">
       五.    学分要求
      </w:t>
      </w:r>
    </w:p>
    <w:p>
      <w:pPr>
        <w:spacing w:after="0"/>
        <w:ind w:left="0"/>
        <w:jc w:val="left"/>
      </w:pPr>
      <w:r>
        <w:rPr>
          <w:rFonts w:ascii="SimSun" w:hAnsi="SimSun"/>
          <w:b w:val="false"/>
          <w:i w:val="false"/>
          <w:color w:val="000000"/>
          <w:sz w:val="21"/>
        </w:rPr>
        <w:t>本路径学生需要完成135学分（含实践学分不低于20.5学分；含美育学分不少于2学分，其中至少在“美学和艺术史论类”或“艺术鉴赏和评论类”课程中修读1学分，并至少参与一项艺术实践活动；劳动教育不少于32学时，并满足劳动周教育要求），包括通识教育课程41学分、全球领导力课程模块59学分、本科多元发展模块25学分，满足融合创新能力10学分等要求。</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 xml:space="preserve">四年级结束时，如达到学士学位要求者授予法学学士学位。  </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5063067" cy="21844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063067" cy="2184400"/>
                    </a:xfrm>
                    <a:prstGeom prst="rect">
                      <a:avLst/>
                    </a:prstGeom>
                  </pic:spPr>
                </pic:pic>
              </a:graphicData>
            </a:graphic>
          </wp:inline>
        </w:drawing>
      </w:r>
    </w:p>
    <w:p>
      <w:pPr>
        <w:spacing w:after="0"/>
        <w:ind w:left="0"/>
        <w:jc w:val="left"/>
      </w:pPr>
      <w:r>
        <w:rPr>
          <w:rFonts w:ascii="SimSun" w:hAnsi="SimSun"/>
          <w:b w:val="false"/>
          <w:i w:val="false"/>
          <w:color w:val="000000"/>
          <w:sz w:val="21"/>
        </w:rPr>
        <w:t>1.课程体系</w:t>
      </w:r>
      <w:r>
        <w:br/>
      </w:r>
      <w:r>
        <w:br/>
      </w:r>
      <w:r>
        <w:rPr>
          <w:rFonts w:ascii="SimSun" w:hAnsi="SimSun"/>
          <w:b w:val="false"/>
          <w:i w:val="false"/>
          <w:color w:val="000000"/>
          <w:sz w:val="21"/>
        </w:rPr>
        <w:t>以24学分的基础课程包和29学分的专业核心课程包建立了全球领导力的核心课程体系，难度逐级提升。为鼓励学生的多元发展，学生可自行选择修读X课程模块，包括本博学术创新衔接课程包，博士学术创新高阶课程模块。鼓励学生修读荣誉课程。</w:t>
      </w:r>
      <w:r>
        <w:br/>
      </w:r>
      <w:r>
        <w:br/>
      </w:r>
      <w:r>
        <w:rPr>
          <w:rFonts w:ascii="SimSun" w:hAnsi="SimSun"/>
          <w:b w:val="false"/>
          <w:i w:val="false"/>
          <w:color w:val="000000"/>
          <w:sz w:val="21"/>
        </w:rPr>
        <w:t>2.训练体系</w:t>
      </w:r>
      <w:r>
        <w:br/>
      </w:r>
      <w:r>
        <w:br/>
      </w:r>
      <w:r>
        <w:rPr>
          <w:rFonts w:ascii="SimSun" w:hAnsi="SimSun"/>
          <w:b w:val="false"/>
          <w:i w:val="false"/>
          <w:color w:val="000000"/>
          <w:sz w:val="21"/>
        </w:rPr>
        <w:t>春风化雨训练体系依托学院“春风化雨导师计划”面向本科轨道学生开展自选学术训练或实务训练，具体修读方式可对应参照本博融通、本硕融通轨道本科阶段项目调整后执行。</w:t>
      </w:r>
      <w:r>
        <w:br/>
      </w:r>
      <w:r>
        <w:br/>
      </w:r>
      <w:r>
        <w:rPr>
          <w:rFonts w:ascii="SimSun" w:hAnsi="SimSun"/>
          <w:b w:val="false"/>
          <w:i w:val="false"/>
          <w:color w:val="000000"/>
          <w:sz w:val="21"/>
        </w:rPr>
        <w:t>本科毕业时，本科轨道学生可将学术或实务训练项目成果直接作为毕业论文申请送审，也可以单独撰写毕业论文。</w:t>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通识教育课程包括高等数学D，通识教育核心课程和专项教育课程。具体要求以当学年学校、学院政策为准。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26学分，含思想政治理论课19学分，七大模块课程6学分（每模块最多修读1门课，回避第四模块“社会研究与当代中国”，即修读第四模块课程将不计入七大模块学分中，只可认定为任意选修课程学分，课程设置详见核心课程七大模块），美育学分不少于2学分，大学生国家安全教育1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要求修读15学分。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（59学分）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“全球领导力”本科项目培养课程模块包括学院“3+3+1”基础课程包和专业核心课程包。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3+3+1基础课程包
      </w:t>
      </w:r>
    </w:p>
    <w:tbl>
      <w:tblPr>
        <w:tblW w:w="0" w:type="auto"/>
        <w:tblCellSpacing w:w="0" w:type="auto"/>
        <w:tblBorders>
          <w:top w:val="none"/>
          <w:left w:val="none"/>
          <w:bottom w:val="none"/>
          <w:right w:val="none"/>
          <w:insideH w:val="none"/>
          <w:insideV w:val="none"/>
        </w:tblBorders>
      </w:tblPr>
      <w:tblGrid>
        <w:gridCol w:w="3186"/>
        <w:gridCol w:w="796"/>
        <w:gridCol w:w="796"/>
        <w:gridCol w:w="1115"/>
        <w:gridCol w:w="1846"/>
        <w:gridCol w:w="796"/>
        <w:gridCol w:w="796"/>
        <w:gridCol w:w="796"/>
        <w:gridCol w:w="796"/>
        <w:gridCol w:w="1116"/>
        <w:gridCol w:w="1595"/>
      </w:tblGrid>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政治学原理</w:t>
            </w:r>
            <w:r>
              <w:br/>
            </w:r>
            <w:r>
              <w:br/>
            </w:r>
            <w:r>
              <w:rPr>
                <w:rFonts w:ascii="SimSun" w:hAnsi="SimSun"/>
                <w:b w:val="false"/>
                <w:i w:val="false"/>
                <w:color w:val="000000"/>
                <w:sz w:val="21"/>
              </w:rPr>
              <w:t>Introduction to Political Science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POLI10004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公共行政学</w:t>
            </w:r>
            <w:r>
              <w:br/>
            </w:r>
            <w:r>
              <w:br/>
            </w:r>
            <w:r>
              <w:rPr>
                <w:rFonts w:ascii="SimSun" w:hAnsi="SimSun"/>
                <w:b w:val="false"/>
                <w:i w:val="false"/>
                <w:color w:val="000000"/>
                <w:sz w:val="21"/>
              </w:rPr>
              <w:t>Public Administration</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MANA10001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国际关系导论</w:t>
            </w:r>
            <w:r>
              <w:br/>
            </w:r>
            <w:r>
              <w:br/>
            </w:r>
            <w:r>
              <w:rPr>
                <w:rFonts w:ascii="SimSun" w:hAnsi="SimSun"/>
                <w:b w:val="false"/>
                <w:i w:val="false"/>
                <w:color w:val="000000"/>
                <w:sz w:val="21"/>
              </w:rPr>
              <w:t>The Introduction to International Relations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POLI10003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当代中国政治制度</w:t>
            </w:r>
            <w:r>
              <w:br/>
            </w:r>
            <w:r>
              <w:br/>
            </w:r>
            <w:r>
              <w:rPr>
                <w:rFonts w:ascii="SimSun" w:hAnsi="SimSun"/>
                <w:b w:val="false"/>
                <w:i w:val="false"/>
                <w:color w:val="000000"/>
                <w:sz w:val="21"/>
              </w:rPr>
              <w:t>Contemporary Chinese Political System</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POLI10009</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公共政策概论</w:t>
            </w:r>
            <w:r>
              <w:br/>
            </w:r>
            <w:r>
              <w:br/>
            </w:r>
            <w:r>
              <w:rPr>
                <w:rFonts w:ascii="SimSun" w:hAnsi="SimSun"/>
                <w:b w:val="false"/>
                <w:i w:val="false"/>
                <w:color w:val="000000"/>
                <w:sz w:val="21"/>
              </w:rPr>
              <w:t>Public Policy: A General Survey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POLI10006</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全球治理概论</w:t>
            </w:r>
            <w:r>
              <w:br/>
            </w:r>
            <w:r>
              <w:br/>
            </w:r>
            <w:r>
              <w:rPr>
                <w:rFonts w:ascii="SimSun" w:hAnsi="SimSun"/>
                <w:b w:val="false"/>
                <w:i w:val="false"/>
                <w:color w:val="000000"/>
                <w:sz w:val="21"/>
              </w:rPr>
              <w:t>Introduction to Global Governance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POLI10001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计算社会科学</w:t>
            </w:r>
            <w:r>
              <w:br/>
            </w:r>
            <w:r>
              <w:br/>
            </w:r>
            <w:r>
              <w:rPr>
                <w:rFonts w:ascii="SimSun" w:hAnsi="SimSun"/>
                <w:b w:val="false"/>
                <w:i w:val="false"/>
                <w:color w:val="000000"/>
                <w:sz w:val="21"/>
              </w:rPr>
              <w:t>Computational Social Science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POLI10002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高等数学D</w:t>
            </w:r>
            <w:r>
              <w:br/>
            </w:r>
            <w:r>
              <w:br/>
            </w:r>
            <w:r>
              <w:rPr>
                <w:rFonts w:ascii="SimSun" w:hAnsi="SimSun"/>
                <w:b w:val="false"/>
                <w:i w:val="false"/>
                <w:color w:val="000000"/>
                <w:sz w:val="21"/>
              </w:rPr>
              <w:t>Advanced Mathematics D</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MATH10008</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（31学分）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国际关系理论</w:t>
            </w:r>
            <w:r>
              <w:br/>
            </w:r>
            <w:r>
              <w:br/>
            </w:r>
            <w:r>
              <w:rPr>
                <w:rFonts w:ascii="SimSun" w:hAnsi="SimSun"/>
                <w:b w:val="false"/>
                <w:i w:val="false"/>
                <w:color w:val="000000"/>
                <w:sz w:val="21"/>
              </w:rPr>
              <w:t>International Relations Theory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POLI20018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近现代国际关系</w:t>
            </w:r>
            <w:r>
              <w:br/>
            </w:r>
            <w:r>
              <w:br/>
            </w:r>
            <w:r>
              <w:rPr>
                <w:rFonts w:ascii="SimSun" w:hAnsi="SimSun"/>
                <w:b w:val="false"/>
                <w:i w:val="false"/>
                <w:color w:val="000000"/>
                <w:sz w:val="21"/>
              </w:rPr>
              <w:t>Modern and Contemporary International Relations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POLI20027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当代国际关系</w:t>
            </w:r>
            <w:r>
              <w:br/>
            </w:r>
            <w:r>
              <w:br/>
            </w:r>
            <w:r>
              <w:rPr>
                <w:rFonts w:ascii="SimSun" w:hAnsi="SimSun"/>
                <w:b w:val="false"/>
                <w:i w:val="false"/>
                <w:color w:val="000000"/>
                <w:sz w:val="21"/>
              </w:rPr>
              <w:t>International Relations Since World War II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POLI20012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近现代中国对外关系</w:t>
            </w:r>
            <w:r>
              <w:br/>
            </w:r>
            <w:r>
              <w:br/>
            </w:r>
            <w:r>
              <w:rPr>
                <w:rFonts w:ascii="SimSun" w:hAnsi="SimSun"/>
                <w:b w:val="false"/>
                <w:i w:val="false"/>
                <w:color w:val="000000"/>
                <w:sz w:val="21"/>
              </w:rPr>
              <w:t>Foreign Relations of China: 1840-1949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POLI20026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当代中国对外关系</w:t>
            </w:r>
            <w:r>
              <w:br/>
            </w:r>
            <w:r>
              <w:br/>
            </w:r>
            <w:r>
              <w:rPr>
                <w:rFonts w:ascii="SimSun" w:hAnsi="SimSun"/>
                <w:b w:val="false"/>
                <w:i w:val="false"/>
                <w:color w:val="000000"/>
                <w:sz w:val="21"/>
              </w:rPr>
              <w:t>Contemporary External Relations of the People's Republic of China</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POLI20009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比较政治制度</w:t>
            </w:r>
            <w:r>
              <w:br/>
            </w:r>
            <w:r>
              <w:br/>
            </w:r>
            <w:r>
              <w:rPr>
                <w:rFonts w:ascii="SimSun" w:hAnsi="SimSun"/>
                <w:b w:val="false"/>
                <w:i w:val="false"/>
                <w:color w:val="000000"/>
                <w:sz w:val="21"/>
              </w:rPr>
              <w:t>Comparative Study of Political Systems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POLI20022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外交学</w:t>
            </w:r>
            <w:r>
              <w:br/>
            </w:r>
            <w:r>
              <w:br/>
            </w:r>
            <w:r>
              <w:rPr>
                <w:rFonts w:ascii="SimSun" w:hAnsi="SimSun"/>
                <w:b w:val="false"/>
                <w:i w:val="false"/>
                <w:color w:val="000000"/>
                <w:sz w:val="21"/>
              </w:rPr>
              <w:t>Diplomacy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POLI30027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国际组织概论</w:t>
            </w:r>
            <w:r>
              <w:br/>
            </w:r>
            <w:r>
              <w:br/>
            </w:r>
            <w:r>
              <w:rPr>
                <w:rFonts w:ascii="SimSun" w:hAnsi="SimSun"/>
                <w:b w:val="false"/>
                <w:i w:val="false"/>
                <w:color w:val="000000"/>
                <w:sz w:val="21"/>
              </w:rPr>
              <w:t>International organization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POLI50005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国际法</w:t>
            </w:r>
            <w:r>
              <w:br/>
            </w:r>
            <w:r>
              <w:br/>
            </w:r>
            <w:r>
              <w:rPr>
                <w:rFonts w:ascii="SimSun" w:hAnsi="SimSun"/>
                <w:b w:val="false"/>
                <w:i w:val="false"/>
                <w:color w:val="000000"/>
                <w:sz w:val="21"/>
              </w:rPr>
              <w:t>International Law</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POLI20015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国际安全概论</w:t>
            </w:r>
            <w:r>
              <w:br/>
            </w:r>
            <w:r>
              <w:br/>
            </w:r>
            <w:r>
              <w:rPr>
                <w:rFonts w:ascii="SimSun" w:hAnsi="SimSun"/>
                <w:b w:val="false"/>
                <w:i w:val="false"/>
                <w:color w:val="000000"/>
                <w:sz w:val="21"/>
              </w:rPr>
              <w:t>Introduction to International Security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POLI20001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当代世界政治思潮</w:t>
            </w:r>
            <w:r>
              <w:br/>
            </w:r>
            <w:r>
              <w:br/>
            </w:r>
            <w:r>
              <w:rPr>
                <w:rFonts w:ascii="SimSun" w:hAnsi="SimSun"/>
                <w:b w:val="false"/>
                <w:i w:val="false"/>
                <w:color w:val="000000"/>
                <w:sz w:val="21"/>
              </w:rPr>
              <w:t>Contemporary Global Political Thoughts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POLI30019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社会科学研究方法</w:t>
            </w:r>
            <w:r>
              <w:br/>
            </w:r>
            <w:r>
              <w:br/>
            </w:r>
            <w:r>
              <w:rPr>
                <w:rFonts w:ascii="SimSun" w:hAnsi="SimSun"/>
                <w:b w:val="false"/>
                <w:i w:val="false"/>
                <w:color w:val="000000"/>
                <w:sz w:val="21"/>
              </w:rPr>
              <w:t>Research Methods of the Social Sciences</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POLI20016</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多元发展包括专业进阶 、跨学科发展（含辅修学士学位项目）和创新创业等不同路径，要求在院系专业导师指导下选择一条发展路径，按路径要求修读课程。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（25学分）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要求在本专业专业进阶模块修读进阶I 25学分。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专业进阶I</w:t>
      </w:r>
      <w:r>
        <w:rPr>
          <w:rFonts w:ascii="SimSun" w:hAnsi="SimSun"/>
          <w:b/>
          <w:i w:val="false"/>
          <w:color w:val="000000"/>
          <w:sz w:val="21"/>
        </w:rPr>
        <w:t>（25学分）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I.本科生在本模块需修读25学分。
      </w:t>
      </w:r>
    </w:p>
    <w:tbl>
      <w:tblPr>
        <w:tblW w:w="0" w:type="auto"/>
        <w:tblCellSpacing w:w="0" w:type="auto"/>
        <w:tblBorders>
          <w:top w:val="none"/>
          <w:left w:val="none"/>
          <w:bottom w:val="none"/>
          <w:right w:val="none"/>
          <w:insideH w:val="none"/>
          <w:insideV w:val="none"/>
        </w:tblBorders>
      </w:tblPr>
      <w:tblGrid>
        <w:gridCol w:w="3186"/>
        <w:gridCol w:w="796"/>
        <w:gridCol w:w="796"/>
        <w:gridCol w:w="1115"/>
        <w:gridCol w:w="1846"/>
        <w:gridCol w:w="796"/>
        <w:gridCol w:w="796"/>
        <w:gridCol w:w="796"/>
        <w:gridCol w:w="796"/>
        <w:gridCol w:w="1116"/>
        <w:gridCol w:w="1595"/>
      </w:tblGrid>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国际政治经济学</w:t>
            </w:r>
            <w:r>
              <w:br/>
            </w:r>
            <w:r>
              <w:br/>
            </w:r>
            <w:r>
              <w:rPr>
                <w:rFonts w:ascii="SimSun" w:hAnsi="SimSun"/>
                <w:b w:val="false"/>
                <w:i w:val="false"/>
                <w:color w:val="000000"/>
                <w:sz w:val="21"/>
              </w:rPr>
              <w:t>International Political Economy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POLI30016</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区域国别学</w:t>
            </w:r>
            <w:r>
              <w:br/>
            </w:r>
            <w:r>
              <w:br/>
            </w:r>
            <w:r>
              <w:rPr>
                <w:rFonts w:ascii="SimSun" w:hAnsi="SimSun"/>
                <w:b w:val="false"/>
                <w:i w:val="false"/>
                <w:color w:val="000000"/>
                <w:sz w:val="21"/>
              </w:rPr>
              <w:t>Area Studies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POLI30013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国家安全学</w:t>
            </w:r>
            <w:r>
              <w:br/>
            </w:r>
            <w:r>
              <w:br/>
            </w:r>
            <w:r>
              <w:rPr>
                <w:rFonts w:ascii="SimSun" w:hAnsi="SimSun"/>
                <w:b w:val="false"/>
                <w:i w:val="false"/>
                <w:color w:val="000000"/>
                <w:sz w:val="21"/>
              </w:rPr>
              <w:t>National Security Studies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POLI30006</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习近平外交思想概论</w:t>
            </w:r>
            <w:r>
              <w:br/>
            </w:r>
            <w:r>
              <w:br/>
            </w:r>
            <w:r>
              <w:rPr>
                <w:rFonts w:ascii="SimSun" w:hAnsi="SimSun"/>
                <w:b w:val="false"/>
                <w:i w:val="false"/>
                <w:color w:val="000000"/>
                <w:sz w:val="21"/>
              </w:rPr>
              <w:t>Introduction to Xi Jinping Thought on Diplomacy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POLI40005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国际发展</w:t>
            </w:r>
            <w:r>
              <w:br/>
            </w:r>
            <w:r>
              <w:br/>
            </w:r>
            <w:r>
              <w:rPr>
                <w:rFonts w:ascii="SimSun" w:hAnsi="SimSun"/>
                <w:b w:val="false"/>
                <w:i w:val="false"/>
                <w:color w:val="000000"/>
                <w:sz w:val="21"/>
              </w:rPr>
              <w:t>International Development</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POLI30003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美国政治与对外关系</w:t>
            </w:r>
            <w:r>
              <w:br/>
            </w:r>
            <w:r>
              <w:br/>
            </w:r>
            <w:r>
              <w:rPr>
                <w:rFonts w:ascii="SimSun" w:hAnsi="SimSun"/>
                <w:b w:val="false"/>
                <w:i w:val="false"/>
                <w:color w:val="000000"/>
                <w:sz w:val="21"/>
              </w:rPr>
              <w:t>American Politics and Foreign Relations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POLI40002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欧盟政治与对外关系</w:t>
            </w:r>
            <w:r>
              <w:br/>
            </w:r>
            <w:r>
              <w:br/>
            </w:r>
            <w:r>
              <w:rPr>
                <w:rFonts w:ascii="SimSun" w:hAnsi="SimSun"/>
                <w:b w:val="false"/>
                <w:i w:val="false"/>
                <w:color w:val="000000"/>
                <w:sz w:val="21"/>
              </w:rPr>
              <w:t>Politics and External Relations of the European Union</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POLI30029</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日本政治与对外关系</w:t>
            </w:r>
            <w:r>
              <w:br/>
            </w:r>
            <w:r>
              <w:br/>
            </w:r>
            <w:r>
              <w:rPr>
                <w:rFonts w:ascii="SimSun" w:hAnsi="SimSun"/>
                <w:b w:val="false"/>
                <w:i w:val="false"/>
                <w:color w:val="000000"/>
                <w:sz w:val="21"/>
              </w:rPr>
              <w:t>Politics and Foreign Relations of Japan</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POLI30030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发展中国家政治与对外关系</w:t>
            </w:r>
            <w:r>
              <w:br/>
            </w:r>
            <w:r>
              <w:br/>
            </w:r>
            <w:r>
              <w:rPr>
                <w:rFonts w:ascii="SimSun" w:hAnsi="SimSun"/>
                <w:b w:val="false"/>
                <w:i w:val="false"/>
                <w:color w:val="000000"/>
                <w:sz w:val="21"/>
              </w:rPr>
              <w:t>Politics and External Relations of the developing countries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POLI40018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国际政治文献选读</w:t>
            </w:r>
            <w:r>
              <w:br/>
            </w:r>
            <w:r>
              <w:br/>
            </w:r>
            <w:r>
              <w:rPr>
                <w:rFonts w:ascii="SimSun" w:hAnsi="SimSun"/>
                <w:b w:val="false"/>
                <w:i w:val="false"/>
                <w:color w:val="000000"/>
                <w:sz w:val="21"/>
              </w:rPr>
              <w:t>Selected Readings in International Politics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POLI30010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人工智能时代的国际关系</w:t>
            </w:r>
            <w:r>
              <w:br/>
            </w:r>
            <w:r>
              <w:br/>
            </w:r>
            <w:r>
              <w:rPr>
                <w:rFonts w:ascii="SimSun" w:hAnsi="SimSun"/>
                <w:b w:val="false"/>
                <w:i w:val="false"/>
                <w:color w:val="000000"/>
                <w:sz w:val="21"/>
              </w:rPr>
              <w:t>International Relations in the Age of Artificial Intelligence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AIS310011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涉外法治与国际关系</w:t>
            </w:r>
            <w:r>
              <w:br/>
            </w:r>
            <w:r>
              <w:br/>
            </w:r>
            <w:r>
              <w:rPr>
                <w:rFonts w:ascii="SimSun" w:hAnsi="SimSun"/>
                <w:b w:val="false"/>
                <w:i w:val="false"/>
                <w:color w:val="000000"/>
                <w:sz w:val="21"/>
              </w:rPr>
              <w:t>Foreign-related Rule of Law and International Relations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POLI30007</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贸易与国际关系</w:t>
            </w:r>
            <w:r>
              <w:br/>
            </w:r>
            <w:r>
              <w:br/>
            </w:r>
            <w:r>
              <w:rPr>
                <w:rFonts w:ascii="SimSun" w:hAnsi="SimSun"/>
                <w:b w:val="false"/>
                <w:i w:val="false"/>
                <w:color w:val="000000"/>
                <w:sz w:val="21"/>
              </w:rPr>
              <w:t>Trade and International Relations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POLI30052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宗教与国际关系</w:t>
            </w:r>
            <w:r>
              <w:br/>
            </w:r>
            <w:r>
              <w:br/>
            </w:r>
            <w:r>
              <w:rPr>
                <w:rFonts w:ascii="SimSun" w:hAnsi="SimSun"/>
                <w:b w:val="false"/>
                <w:i w:val="false"/>
                <w:color w:val="000000"/>
                <w:sz w:val="21"/>
              </w:rPr>
              <w:t>Religion and International Relations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POLI30039</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环境与国际关系</w:t>
            </w:r>
            <w:r>
              <w:br/>
            </w:r>
            <w:r>
              <w:br/>
            </w:r>
            <w:r>
              <w:rPr>
                <w:rFonts w:ascii="SimSun" w:hAnsi="SimSun"/>
                <w:b w:val="false"/>
                <w:i w:val="false"/>
                <w:color w:val="000000"/>
                <w:sz w:val="21"/>
              </w:rPr>
              <w:t>Environment and International Relations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POLI30040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能源与国际关系</w:t>
            </w:r>
            <w:r>
              <w:br/>
            </w:r>
            <w:r>
              <w:br/>
            </w:r>
            <w:r>
              <w:rPr>
                <w:rFonts w:ascii="SimSun" w:hAnsi="SimSun"/>
                <w:b w:val="false"/>
                <w:i w:val="false"/>
                <w:color w:val="000000"/>
                <w:sz w:val="21"/>
              </w:rPr>
              <w:t>Energy and International Relations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POLI30048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国际传播与人文交流</w:t>
            </w:r>
            <w:r>
              <w:br/>
            </w:r>
            <w:r>
              <w:br/>
            </w:r>
            <w:r>
              <w:rPr>
                <w:rFonts w:ascii="SimSun" w:hAnsi="SimSun"/>
                <w:b w:val="false"/>
                <w:i w:val="false"/>
                <w:color w:val="000000"/>
                <w:sz w:val="21"/>
              </w:rPr>
              <w:t>International Communication and People-to-People Exchange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POLI40006</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俄罗斯政治与对外关系</w:t>
            </w:r>
            <w:r>
              <w:br/>
            </w:r>
            <w:r>
              <w:br/>
            </w:r>
            <w:r>
              <w:rPr>
                <w:rFonts w:ascii="SimSun" w:hAnsi="SimSun"/>
                <w:b w:val="false"/>
                <w:i w:val="false"/>
                <w:color w:val="000000"/>
                <w:sz w:val="21"/>
              </w:rPr>
              <w:t>Russian Politics and Foreign Relations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POLI30021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东南亚政治与对外关系</w:t>
            </w:r>
            <w:r>
              <w:br/>
            </w:r>
            <w:r>
              <w:br/>
            </w:r>
            <w:r>
              <w:rPr>
                <w:rFonts w:ascii="SimSun" w:hAnsi="SimSun"/>
                <w:b w:val="false"/>
                <w:i w:val="false"/>
                <w:color w:val="000000"/>
                <w:sz w:val="21"/>
              </w:rPr>
              <w:t>Southeast Asian Politics and External Relations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POLI40004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中东政治与对外关系</w:t>
            </w:r>
            <w:r>
              <w:br/>
            </w:r>
            <w:r>
              <w:br/>
            </w:r>
            <w:r>
              <w:rPr>
                <w:rFonts w:ascii="SimSun" w:hAnsi="SimSun"/>
                <w:b w:val="false"/>
                <w:i w:val="false"/>
                <w:color w:val="000000"/>
                <w:sz w:val="21"/>
              </w:rPr>
              <w:t>Middle Eastern Politics and Diplomacy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POLI20017</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拉美政治与对外关系</w:t>
            </w:r>
            <w:r>
              <w:br/>
            </w:r>
            <w:r>
              <w:br/>
            </w:r>
            <w:r>
              <w:rPr>
                <w:rFonts w:ascii="SimSun" w:hAnsi="SimSun"/>
                <w:b w:val="false"/>
                <w:i w:val="false"/>
                <w:color w:val="000000"/>
                <w:sz w:val="21"/>
              </w:rPr>
              <w:t>Latin American Politics and Foreign Relations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POLI40003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非洲政治与对外关系</w:t>
            </w:r>
            <w:r>
              <w:br/>
            </w:r>
            <w:r>
              <w:br/>
            </w:r>
            <w:r>
              <w:rPr>
                <w:rFonts w:ascii="SimSun" w:hAnsi="SimSun"/>
                <w:b w:val="false"/>
                <w:i w:val="false"/>
                <w:color w:val="000000"/>
                <w:sz w:val="21"/>
              </w:rPr>
              <w:t>The Politics and External Relations in Africa</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POLI30015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博弈论</w:t>
            </w:r>
            <w:r>
              <w:br/>
            </w:r>
            <w:r>
              <w:br/>
            </w:r>
            <w:r>
              <w:rPr>
                <w:rFonts w:ascii="SimSun" w:hAnsi="SimSun"/>
                <w:b w:val="false"/>
                <w:i w:val="false"/>
                <w:color w:val="000000"/>
                <w:sz w:val="21"/>
              </w:rPr>
              <w:t>Game Theory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POLI40008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制度分析</w:t>
            </w:r>
            <w:r>
              <w:br/>
            </w:r>
            <w:r>
              <w:br/>
            </w:r>
            <w:r>
              <w:rPr>
                <w:rFonts w:ascii="SimSun" w:hAnsi="SimSun"/>
                <w:b w:val="false"/>
                <w:i w:val="false"/>
                <w:color w:val="000000"/>
                <w:sz w:val="21"/>
              </w:rPr>
              <w:t>Institutional Analysis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POLI30012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田野调查方法</w:t>
            </w:r>
            <w:r>
              <w:br/>
            </w:r>
            <w:r>
              <w:br/>
            </w:r>
            <w:r>
              <w:rPr>
                <w:rFonts w:ascii="SimSun" w:hAnsi="SimSun"/>
                <w:b w:val="false"/>
                <w:i w:val="false"/>
                <w:color w:val="000000"/>
                <w:sz w:val="21"/>
              </w:rPr>
              <w:t>Fieldwork Method</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POLI40001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外交实务</w:t>
            </w:r>
            <w:r>
              <w:br/>
            </w:r>
            <w:r>
              <w:br/>
            </w:r>
            <w:r>
              <w:rPr>
                <w:rFonts w:ascii="SimSun" w:hAnsi="SimSun"/>
                <w:b w:val="false"/>
                <w:i w:val="false"/>
                <w:color w:val="000000"/>
                <w:sz w:val="21"/>
              </w:rPr>
              <w:t>Foreign Affairs Practice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POLI50010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国际公共行政</w:t>
            </w:r>
            <w:r>
              <w:br/>
            </w:r>
            <w:r>
              <w:br/>
            </w:r>
            <w:r>
              <w:rPr>
                <w:rFonts w:ascii="SimSun" w:hAnsi="SimSun"/>
                <w:b w:val="false"/>
                <w:i w:val="false"/>
                <w:color w:val="000000"/>
                <w:sz w:val="21"/>
              </w:rPr>
              <w:t>International Public Administration</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POLI30005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全球公共政策</w:t>
            </w:r>
            <w:r>
              <w:br/>
            </w:r>
            <w:r>
              <w:br/>
            </w:r>
            <w:r>
              <w:rPr>
                <w:rFonts w:ascii="SimSun" w:hAnsi="SimSun"/>
                <w:b w:val="false"/>
                <w:i w:val="false"/>
                <w:color w:val="000000"/>
                <w:sz w:val="21"/>
              </w:rPr>
              <w:t>Global Public Policy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MANA30002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国际战略</w:t>
            </w:r>
            <w:r>
              <w:br/>
            </w:r>
            <w:r>
              <w:br/>
            </w:r>
            <w:r>
              <w:rPr>
                <w:rFonts w:ascii="SimSun" w:hAnsi="SimSun"/>
                <w:b w:val="false"/>
                <w:i w:val="false"/>
                <w:color w:val="000000"/>
                <w:sz w:val="21"/>
              </w:rPr>
              <w:t>International Strategy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POLI30017</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政策调研与写作</w:t>
            </w:r>
            <w:r>
              <w:br/>
            </w:r>
            <w:r>
              <w:br/>
            </w:r>
            <w:r>
              <w:rPr>
                <w:rFonts w:ascii="SimSun" w:hAnsi="SimSun"/>
                <w:b w:val="false"/>
                <w:i w:val="false"/>
                <w:color w:val="000000"/>
                <w:sz w:val="21"/>
              </w:rPr>
              <w:t>Practical Guide to Survey Research and Public Policy Papers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GEXZ10024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政策推演与模拟</w:t>
            </w:r>
            <w:r>
              <w:br/>
            </w:r>
            <w:r>
              <w:br/>
            </w:r>
            <w:r>
              <w:rPr>
                <w:rFonts w:ascii="SimSun" w:hAnsi="SimSun"/>
                <w:b w:val="false"/>
                <w:i w:val="false"/>
                <w:color w:val="000000"/>
                <w:sz w:val="21"/>
              </w:rPr>
              <w:t>Policy Simulation</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POLI30011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行政与外交文书</w:t>
            </w:r>
            <w:r>
              <w:br/>
            </w:r>
            <w:r>
              <w:br/>
            </w:r>
            <w:r>
              <w:rPr>
                <w:rFonts w:ascii="SimSun" w:hAnsi="SimSun"/>
                <w:b w:val="false"/>
                <w:i w:val="false"/>
                <w:color w:val="000000"/>
                <w:sz w:val="21"/>
              </w:rPr>
              <w:t>Administrative and Diplomatic Document Writing</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POLI20010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港台政治与行政</w:t>
            </w:r>
            <w:r>
              <w:br/>
            </w:r>
            <w:r>
              <w:br/>
            </w:r>
            <w:r>
              <w:rPr>
                <w:rFonts w:ascii="SimSun" w:hAnsi="SimSun"/>
                <w:b w:val="false"/>
                <w:i w:val="false"/>
                <w:color w:val="000000"/>
                <w:sz w:val="21"/>
              </w:rPr>
              <w:t>Politics and Administration in Taiwan and Hong Kong</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POLI30033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国际谈判</w:t>
            </w:r>
            <w:r>
              <w:br/>
            </w:r>
            <w:r>
              <w:br/>
            </w:r>
            <w:r>
              <w:rPr>
                <w:rFonts w:ascii="SimSun" w:hAnsi="SimSun"/>
                <w:b w:val="false"/>
                <w:i w:val="false"/>
                <w:color w:val="000000"/>
                <w:sz w:val="21"/>
              </w:rPr>
              <w:t>International Negotiation</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POLI30043</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专业进阶II</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II.本科生在本模块需修读0学分。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（25学分）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修满25学分。要求修读2个非本专业独立开设的学程，可选择专业学程或跨学科学程。学分不足部分可在全校所有本科生课程中任意选修。
       </w:t>
      </w:r>
      <w:r>
        <w:br/>
      </w:r>
      <w:r>
        <w:rPr>
          <w:rFonts w:ascii="SimSun" w:hAnsi="SimSun"/>
          <w:b w:val="false"/>
          <w:i w:val="false"/>
          <w:color w:val="000000"/>
          <w:sz w:val="21"/>
        </w:rPr>
        <w:t xml:space="preserve">
       </w:t>
      </w:r>
      <w:r>
        <w:br/>
      </w:r>
      <w:r>
        <w:rPr>
          <w:rFonts w:ascii="SimSun" w:hAnsi="SimSun"/>
          <w:b w:val="false"/>
          <w:i w:val="false"/>
          <w:color w:val="000000"/>
          <w:sz w:val="21"/>
        </w:rPr>
        <w:t xml:space="preserve">学程课程详见教务处学程项目网页，下载地址：https://jwc.fudan.edu.cn/（复旦大学教务处）专业培养-常用文档。完成学程修读要求的学生可获得相应的学程证书。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（25学分）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25学分。要求修读1个创新创业学院开设的创新创业学程，以及1个非本专业独立开设的专业学程或跨学科学程。学分不足部分可在全校所有本科生课程中任意选修。创新创业学程课程详见教务处学程项目网页，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（65学分）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要求至少修读1个本专业进阶课程模块和1个外院系开设的辅修学士学位项目，辅修学士学位应与主修学士学位归属不同的本科专业大类。
       </w:t>
      </w:r>
      <w:r>
        <w:br/>
      </w:r>
      <w:r>
        <w:rPr>
          <w:rFonts w:ascii="SimSun" w:hAnsi="SimSun"/>
          <w:b w:val="false"/>
          <w:i w:val="false"/>
          <w:color w:val="000000"/>
          <w:sz w:val="21"/>
        </w:rPr>
        <w:t xml:space="preserve">
       </w:t>
      </w:r>
      <w:r>
        <w:br/>
      </w:r>
      <w:r>
        <w:rPr>
          <w:rFonts w:ascii="SimSun" w:hAnsi="SimSun"/>
          <w:b w:val="false"/>
          <w:i w:val="false"/>
          <w:color w:val="000000"/>
          <w:sz w:val="21"/>
        </w:rPr>
        <w:t xml:space="preserve">辅修学士学位项目课程设置详见教务处辅修学士学位项目网页，下载地址：https://jwc.fudan.edu.cn/（复旦大学教务处）专业培养-常用文档。完成辅修学士学位项目修读要求，且达到学校毕业和学位授予要求的学生可获得相应的辅修学士学位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多元发展路径中，专业进阶课程模块或辅修学士学位项目均可以冲抵学程，专业培养和多元发展路径共享的课程只计算一次学分。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（10学分）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春风化雨训练体系依托学院“春风化雨导师计划”面向本科轨道学生开展自选学术训练或实务训练，具体修读方式可对应参照本博融通、本硕融通轨道本科阶段项目调整后执行。
       </w:t>
      </w:r>
      <w:r>
        <w:br/>
      </w:r>
      <w:r>
        <w:rPr>
          <w:rFonts w:ascii="SimSun" w:hAnsi="SimSun"/>
          <w:b w:val="false"/>
          <w:i w:val="false"/>
          <w:color w:val="000000"/>
          <w:sz w:val="21"/>
        </w:rPr>
        <w:t xml:space="preserve">
       </w:t>
      </w:r>
      <w:r>
        <w:br/>
      </w:r>
      <w:r>
        <w:rPr>
          <w:rFonts w:ascii="SimSun" w:hAnsi="SimSun"/>
          <w:b w:val="false"/>
          <w:i w:val="false"/>
          <w:color w:val="000000"/>
          <w:sz w:val="21"/>
        </w:rPr>
        <w:t xml:space="preserve">本科毕业时，本科轨道学生可将学术或实务训练项目成果直接作为毕业论文申请送审，也可以单独撰写毕业论文。
      </w:t>
      </w:r>
    </w:p>
    <w:tbl>
      <w:tblPr>
        <w:tblW w:w="0" w:type="auto"/>
        <w:tblCellSpacing w:w="0" w:type="auto"/>
        <w:tblBorders>
          <w:top w:val="none"/>
          <w:left w:val="none"/>
          <w:bottom w:val="none"/>
          <w:right w:val="none"/>
          <w:insideH w:val="none"/>
          <w:insideV w:val="none"/>
        </w:tblBorders>
      </w:tblPr>
      <w:tblGrid>
        <w:gridCol w:w="3230"/>
        <w:gridCol w:w="807"/>
        <w:gridCol w:w="807"/>
        <w:gridCol w:w="1130"/>
        <w:gridCol w:w="1635"/>
        <w:gridCol w:w="807"/>
        <w:gridCol w:w="807"/>
        <w:gridCol w:w="807"/>
        <w:gridCol w:w="807"/>
        <w:gridCol w:w="1130"/>
        <w:gridCol w:w="1667"/>
      </w:tblGrid>
      <w:tr>
        <w:trPr>
          <w:trHeight w:val="45" w:hRule="atLeast"/>
        </w:trPr>
        <w:tc>
          <w:tcPr>
            <w:tcW w:w="32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67"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POLI40012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67"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科毕业时，学生可选择将FDUROP结项报告或参与“薪火计划”时在指导教师指导下独立撰写的研究报告或研究论文作为本科毕业论文送审。学院出台相应配套政策，进行审核与学分认定。若结项报告、研究论文为团队成果，学生在申请用于作为本科毕业论文送审时，应取得指导老师以及课题团队成员书面一致同意，且每份报告或论文只适用一次本科毕业论文答辩申请，不得多人重复使用。</w:t>
            </w:r>
          </w:p>
        </w:tc>
      </w:tr>
      <w:tr>
        <w:trPr>
          <w:trHeight w:val="45" w:hRule="atLeast"/>
        </w:trPr>
        <w:tc>
          <w:tcPr>
            <w:tcW w:w="32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社会实践</w:t>
            </w:r>
            <w:r>
              <w:br/>
            </w:r>
            <w:r>
              <w:br/>
            </w:r>
            <w:r>
              <w:rPr>
                <w:rFonts w:ascii="SimSun" w:hAnsi="SimSun"/>
                <w:b w:val="false"/>
                <w:i w:val="false"/>
                <w:color w:val="000000"/>
                <w:sz w:val="21"/>
              </w:rPr>
              <w:t>Social Practice</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POLI40011</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6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科研实践Ⅰ</w:t>
            </w:r>
            <w:r>
              <w:br/>
            </w:r>
            <w:r>
              <w:br/>
            </w:r>
            <w:r>
              <w:rPr>
                <w:rFonts w:ascii="SimSun" w:hAnsi="SimSun"/>
                <w:b w:val="false"/>
                <w:i w:val="false"/>
                <w:color w:val="000000"/>
                <w:sz w:val="21"/>
              </w:rPr>
              <w:t>Research PracticeⅠ</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POLI30065</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6,7</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6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科研实践Ⅱ</w:t>
            </w:r>
            <w:r>
              <w:br/>
            </w:r>
            <w:r>
              <w:br/>
            </w:r>
            <w:r>
              <w:rPr>
                <w:rFonts w:ascii="SimSun" w:hAnsi="SimSun"/>
                <w:b w:val="false"/>
                <w:i w:val="false"/>
                <w:color w:val="000000"/>
                <w:sz w:val="21"/>
              </w:rPr>
              <w:t>Research Practice Ⅱ</w:t>
            </w: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POLI30066</w:t>
            </w: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6,7</w:t>
            </w: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67"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