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2025电子科学与技术专业-智能材料方向本博融通培养方案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学院开设的“电子科学与技术”专业强调物理学、工程数学、电子学、材料科学与工程等多学科领域的高度交叉与协同创新，培养电子科学与技术领域的人才，为推动电子信息产业发展和科技创新提供人才支撑。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功能材料</w:t>
            </w:r>
            <w:r>
              <w:br/>
            </w:r>
            <w:r>
              <w:br/>
            </w:r>
            <w:r>
              <w:rPr>
                <w:rFonts w:ascii="SimSun" w:hAnsi="SimSun"/>
                <w:b w:val="false"/>
                <w:i w:val="false"/>
                <w:color w:val="000000"/>
                <w:sz w:val="21"/>
              </w:rPr>
              <w:t>Functional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24学分）和1个外院系开设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