
<file path=[Content_Types].xml><?xml version="1.0" encoding="utf-8"?>
<Types xmlns="http://schemas.openxmlformats.org/package/2006/content-types">
  <Default Extension="wmf" ContentType="image/x-wmf"/>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4CC11">
      <w:pPr>
        <w:tabs>
          <w:tab w:val="left" w:pos="2368"/>
        </w:tabs>
        <w:spacing w:after="312" w:afterLines="100" w:line="640" w:lineRule="exact"/>
        <w:jc w:val="center"/>
        <w:rPr>
          <w:rFonts w:ascii="宋体" w:hAnsi="宋体" w:eastAsia="宋体"/>
          <w:b/>
          <w:sz w:val="36"/>
          <w:szCs w:val="36"/>
        </w:rPr>
      </w:pPr>
      <w:bookmarkStart w:id="1" w:name="_GoBack"/>
      <w:bookmarkEnd w:id="1"/>
      <w:r>
        <w:rPr>
          <w:rFonts w:hint="eastAsia" w:ascii="宋体" w:hAnsi="宋体" w:eastAsia="宋体"/>
          <w:b/>
          <w:sz w:val="36"/>
          <w:szCs w:val="36"/>
        </w:rPr>
        <w:t>生物工程学院</w:t>
      </w:r>
    </w:p>
    <w:p w14:paraId="5C456949">
      <w:pPr>
        <w:tabs>
          <w:tab w:val="left" w:pos="2368"/>
        </w:tabs>
        <w:spacing w:after="312" w:afterLines="100" w:line="640" w:lineRule="exact"/>
        <w:jc w:val="center"/>
        <w:rPr>
          <w:rFonts w:ascii="宋体" w:hAnsi="宋体" w:eastAsia="宋体"/>
          <w:b/>
          <w:sz w:val="36"/>
          <w:szCs w:val="36"/>
        </w:rPr>
      </w:pPr>
      <w:r>
        <w:rPr>
          <w:rFonts w:hint="eastAsia" w:ascii="宋体" w:hAnsi="宋体" w:eastAsia="宋体"/>
          <w:b/>
          <w:sz w:val="36"/>
          <w:szCs w:val="36"/>
        </w:rPr>
        <w:t>“拔尖</w:t>
      </w:r>
      <w:r>
        <w:rPr>
          <w:rFonts w:ascii="宋体" w:hAnsi="宋体" w:eastAsia="宋体"/>
          <w:b/>
          <w:sz w:val="36"/>
          <w:szCs w:val="36"/>
        </w:rPr>
        <w:t>创新人才培养</w:t>
      </w:r>
      <w:r>
        <w:rPr>
          <w:rFonts w:hint="eastAsia" w:ascii="宋体" w:hAnsi="宋体" w:eastAsia="宋体"/>
          <w:b/>
          <w:sz w:val="36"/>
          <w:szCs w:val="36"/>
        </w:rPr>
        <w:t>计划”</w:t>
      </w:r>
      <w:r>
        <w:rPr>
          <w:rFonts w:ascii="宋体" w:hAnsi="宋体" w:eastAsia="宋体"/>
          <w:b/>
          <w:sz w:val="36"/>
          <w:szCs w:val="36"/>
        </w:rPr>
        <w:t>实施细则</w:t>
      </w:r>
    </w:p>
    <w:p w14:paraId="6DE50FCD">
      <w:pPr>
        <w:tabs>
          <w:tab w:val="left" w:pos="2368"/>
        </w:tabs>
        <w:spacing w:line="640" w:lineRule="exact"/>
        <w:rPr>
          <w:rFonts w:ascii="仿宋" w:hAnsi="仿宋" w:eastAsia="仿宋"/>
          <w:szCs w:val="32"/>
        </w:rPr>
      </w:pPr>
      <w:r>
        <w:rPr>
          <w:rFonts w:hint="eastAsia" w:ascii="仿宋" w:hAnsi="仿宋" w:eastAsia="仿宋"/>
          <w:szCs w:val="32"/>
        </w:rPr>
        <w:t xml:space="preserve">    为</w:t>
      </w:r>
      <w:r>
        <w:rPr>
          <w:rFonts w:ascii="仿宋" w:hAnsi="仿宋" w:eastAsia="仿宋"/>
          <w:szCs w:val="32"/>
        </w:rPr>
        <w:t>深入</w:t>
      </w:r>
      <w:r>
        <w:rPr>
          <w:rFonts w:hint="eastAsia" w:ascii="仿宋" w:hAnsi="仿宋" w:eastAsia="仿宋"/>
          <w:szCs w:val="32"/>
        </w:rPr>
        <w:t>贯彻落实《</w:t>
      </w:r>
      <w:bookmarkStart w:id="0" w:name="文件标题"/>
      <w:r>
        <w:rPr>
          <w:rFonts w:hint="eastAsia" w:eastAsia="仿宋"/>
          <w:szCs w:val="32"/>
        </w:rPr>
        <w:t>华东理工大学关于印发《拔尖创新人才培养</w:t>
      </w:r>
      <w:r>
        <w:rPr>
          <w:rFonts w:hint="eastAsia" w:ascii="仿宋" w:hAnsi="仿宋" w:eastAsia="仿宋"/>
          <w:szCs w:val="32"/>
        </w:rPr>
        <w:t>计划实施办法》的通知</w:t>
      </w:r>
      <w:bookmarkEnd w:id="0"/>
      <w:r>
        <w:rPr>
          <w:rFonts w:hint="eastAsia" w:ascii="仿宋" w:hAnsi="仿宋" w:eastAsia="仿宋"/>
          <w:szCs w:val="32"/>
        </w:rPr>
        <w:t>》</w:t>
      </w:r>
      <w:r>
        <w:rPr>
          <w:rFonts w:ascii="仿宋" w:hAnsi="仿宋" w:eastAsia="仿宋"/>
          <w:szCs w:val="32"/>
        </w:rPr>
        <w:t>（</w:t>
      </w:r>
      <w:r>
        <w:rPr>
          <w:rFonts w:hint="eastAsia" w:ascii="仿宋" w:hAnsi="仿宋" w:eastAsia="仿宋"/>
          <w:szCs w:val="32"/>
        </w:rPr>
        <w:t>校</w:t>
      </w:r>
      <w:r>
        <w:rPr>
          <w:rFonts w:ascii="仿宋" w:hAnsi="仿宋" w:eastAsia="仿宋"/>
          <w:szCs w:val="32"/>
        </w:rPr>
        <w:t>研〔2022〕4号）</w:t>
      </w:r>
      <w:r>
        <w:rPr>
          <w:rFonts w:hint="eastAsia" w:ascii="仿宋" w:hAnsi="仿宋" w:eastAsia="仿宋"/>
          <w:szCs w:val="32"/>
        </w:rPr>
        <w:t>文件</w:t>
      </w:r>
      <w:r>
        <w:rPr>
          <w:rFonts w:ascii="仿宋" w:hAnsi="仿宋" w:eastAsia="仿宋"/>
          <w:szCs w:val="32"/>
        </w:rPr>
        <w:t>精神</w:t>
      </w:r>
      <w:r>
        <w:rPr>
          <w:rFonts w:hint="eastAsia" w:ascii="仿宋" w:hAnsi="仿宋" w:eastAsia="仿宋"/>
          <w:szCs w:val="32"/>
        </w:rPr>
        <w:t>，</w:t>
      </w:r>
      <w:r>
        <w:rPr>
          <w:rFonts w:ascii="仿宋" w:hAnsi="仿宋" w:eastAsia="仿宋"/>
          <w:szCs w:val="32"/>
        </w:rPr>
        <w:t>推动教育内涵发展，</w:t>
      </w:r>
      <w:r>
        <w:rPr>
          <w:rFonts w:hint="eastAsia" w:ascii="仿宋" w:hAnsi="仿宋" w:eastAsia="仿宋"/>
          <w:szCs w:val="32"/>
        </w:rPr>
        <w:t>培养</w:t>
      </w:r>
      <w:r>
        <w:rPr>
          <w:rFonts w:ascii="仿宋" w:hAnsi="仿宋" w:eastAsia="仿宋"/>
          <w:szCs w:val="32"/>
        </w:rPr>
        <w:t>卓越创新人才，</w:t>
      </w:r>
      <w:r>
        <w:rPr>
          <w:rFonts w:hint="eastAsia" w:ascii="仿宋" w:hAnsi="仿宋" w:eastAsia="仿宋"/>
          <w:szCs w:val="32"/>
        </w:rPr>
        <w:t>生物工程学院拟选拔</w:t>
      </w:r>
      <w:r>
        <w:rPr>
          <w:rFonts w:ascii="仿宋" w:hAnsi="仿宋" w:eastAsia="仿宋"/>
          <w:szCs w:val="32"/>
        </w:rPr>
        <w:t>优秀本科生进入</w:t>
      </w:r>
      <w:r>
        <w:rPr>
          <w:rFonts w:hint="eastAsia" w:ascii="仿宋" w:hAnsi="仿宋" w:eastAsia="仿宋"/>
          <w:szCs w:val="32"/>
        </w:rPr>
        <w:t>“</w:t>
      </w:r>
      <w:r>
        <w:rPr>
          <w:rFonts w:ascii="仿宋" w:hAnsi="仿宋" w:eastAsia="仿宋"/>
          <w:szCs w:val="32"/>
        </w:rPr>
        <w:t>拔尖创新人才培养计划</w:t>
      </w:r>
      <w:r>
        <w:rPr>
          <w:rFonts w:hint="eastAsia" w:ascii="仿宋" w:hAnsi="仿宋" w:eastAsia="仿宋"/>
          <w:szCs w:val="32"/>
        </w:rPr>
        <w:t>”，</w:t>
      </w:r>
      <w:r>
        <w:rPr>
          <w:rFonts w:ascii="仿宋" w:hAnsi="仿宋" w:eastAsia="仿宋"/>
          <w:szCs w:val="32"/>
        </w:rPr>
        <w:t>特制定本细则。</w:t>
      </w:r>
    </w:p>
    <w:p w14:paraId="079C1619">
      <w:pPr>
        <w:tabs>
          <w:tab w:val="left" w:pos="2368"/>
        </w:tabs>
        <w:spacing w:line="640" w:lineRule="exact"/>
        <w:jc w:val="center"/>
        <w:rPr>
          <w:rFonts w:ascii="黑体" w:hAnsi="黑体" w:eastAsia="黑体"/>
          <w:szCs w:val="32"/>
        </w:rPr>
      </w:pPr>
      <w:r>
        <w:rPr>
          <w:rFonts w:hint="eastAsia" w:ascii="黑体" w:hAnsi="黑体" w:eastAsia="黑体"/>
          <w:szCs w:val="32"/>
        </w:rPr>
        <w:t>第一部分 学院组织机构及职责</w:t>
      </w:r>
    </w:p>
    <w:p w14:paraId="0A0882D8">
      <w:pPr>
        <w:pStyle w:val="11"/>
        <w:numPr>
          <w:ilvl w:val="0"/>
          <w:numId w:val="1"/>
        </w:numPr>
        <w:tabs>
          <w:tab w:val="left" w:pos="2368"/>
        </w:tabs>
        <w:spacing w:line="640" w:lineRule="exact"/>
        <w:ind w:firstLineChars="0"/>
        <w:rPr>
          <w:rFonts w:ascii="楷体" w:hAnsi="楷体" w:eastAsia="楷体"/>
          <w:szCs w:val="32"/>
        </w:rPr>
      </w:pPr>
      <w:r>
        <w:rPr>
          <w:rFonts w:ascii="楷体" w:hAnsi="楷体" w:eastAsia="楷体"/>
          <w:szCs w:val="32"/>
        </w:rPr>
        <w:t>组织机构</w:t>
      </w:r>
    </w:p>
    <w:p w14:paraId="03905012">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学院</w:t>
      </w:r>
      <w:r>
        <w:rPr>
          <w:rFonts w:ascii="仿宋" w:hAnsi="仿宋" w:eastAsia="仿宋"/>
          <w:szCs w:val="32"/>
        </w:rPr>
        <w:t>成立</w:t>
      </w:r>
      <w:r>
        <w:rPr>
          <w:rFonts w:hint="eastAsia" w:ascii="仿宋" w:hAnsi="仿宋" w:eastAsia="仿宋"/>
          <w:szCs w:val="32"/>
        </w:rPr>
        <w:t>以院长为组长，</w:t>
      </w:r>
      <w:r>
        <w:rPr>
          <w:rFonts w:ascii="仿宋" w:hAnsi="仿宋" w:eastAsia="仿宋"/>
          <w:szCs w:val="32"/>
        </w:rPr>
        <w:t>由分管副院长、相关学科与系负责人组成的</w:t>
      </w:r>
      <w:r>
        <w:rPr>
          <w:rFonts w:hint="eastAsia" w:ascii="仿宋" w:hAnsi="仿宋" w:eastAsia="仿宋"/>
          <w:szCs w:val="32"/>
        </w:rPr>
        <w:t>“拔尖创新人才计划”</w:t>
      </w:r>
      <w:r>
        <w:rPr>
          <w:rFonts w:ascii="仿宋" w:hAnsi="仿宋" w:eastAsia="仿宋"/>
          <w:szCs w:val="32"/>
        </w:rPr>
        <w:t>选拔考核</w:t>
      </w:r>
      <w:r>
        <w:rPr>
          <w:rFonts w:hint="eastAsia" w:ascii="仿宋" w:hAnsi="仿宋" w:eastAsia="仿宋"/>
          <w:szCs w:val="32"/>
        </w:rPr>
        <w:t>领导小</w:t>
      </w:r>
      <w:r>
        <w:rPr>
          <w:rFonts w:ascii="仿宋" w:hAnsi="仿宋" w:eastAsia="仿宋"/>
          <w:szCs w:val="32"/>
        </w:rPr>
        <w:t>组</w:t>
      </w:r>
      <w:r>
        <w:rPr>
          <w:rFonts w:hint="eastAsia" w:ascii="仿宋" w:hAnsi="仿宋" w:eastAsia="仿宋"/>
          <w:szCs w:val="32"/>
        </w:rPr>
        <w:t>（简称“</w:t>
      </w:r>
      <w:r>
        <w:rPr>
          <w:rFonts w:ascii="仿宋" w:hAnsi="仿宋" w:eastAsia="仿宋"/>
          <w:szCs w:val="32"/>
        </w:rPr>
        <w:t>考核</w:t>
      </w:r>
      <w:r>
        <w:rPr>
          <w:rFonts w:hint="eastAsia" w:ascii="仿宋" w:hAnsi="仿宋" w:eastAsia="仿宋"/>
          <w:szCs w:val="32"/>
        </w:rPr>
        <w:t>领导小</w:t>
      </w:r>
      <w:r>
        <w:rPr>
          <w:rFonts w:ascii="仿宋" w:hAnsi="仿宋" w:eastAsia="仿宋"/>
          <w:szCs w:val="32"/>
        </w:rPr>
        <w:t>组</w:t>
      </w:r>
      <w:r>
        <w:rPr>
          <w:rFonts w:hint="eastAsia" w:ascii="仿宋" w:hAnsi="仿宋" w:eastAsia="仿宋"/>
          <w:szCs w:val="32"/>
        </w:rPr>
        <w:t>”）。</w:t>
      </w:r>
    </w:p>
    <w:p w14:paraId="525C6D79">
      <w:pPr>
        <w:pStyle w:val="11"/>
        <w:numPr>
          <w:ilvl w:val="0"/>
          <w:numId w:val="1"/>
        </w:numPr>
        <w:tabs>
          <w:tab w:val="left" w:pos="2368"/>
        </w:tabs>
        <w:spacing w:line="640" w:lineRule="exact"/>
        <w:ind w:firstLineChars="0"/>
        <w:rPr>
          <w:rFonts w:ascii="楷体" w:hAnsi="楷体" w:eastAsia="楷体"/>
          <w:szCs w:val="32"/>
        </w:rPr>
      </w:pPr>
      <w:r>
        <w:rPr>
          <w:rFonts w:hint="eastAsia" w:ascii="楷体" w:hAnsi="楷体" w:eastAsia="楷体"/>
          <w:szCs w:val="32"/>
        </w:rPr>
        <w:t>机构职责</w:t>
      </w:r>
    </w:p>
    <w:p w14:paraId="3EE097DE">
      <w:pPr>
        <w:tabs>
          <w:tab w:val="left" w:pos="2368"/>
        </w:tabs>
        <w:spacing w:line="640" w:lineRule="exact"/>
        <w:ind w:firstLine="640" w:firstLineChars="200"/>
        <w:rPr>
          <w:rFonts w:ascii="仿宋" w:hAnsi="仿宋" w:eastAsia="仿宋"/>
        </w:rPr>
      </w:pPr>
      <w:r>
        <w:rPr>
          <w:rFonts w:ascii="仿宋" w:hAnsi="仿宋" w:eastAsia="仿宋"/>
          <w:szCs w:val="32"/>
        </w:rPr>
        <w:t>考核</w:t>
      </w:r>
      <w:r>
        <w:rPr>
          <w:rFonts w:hint="eastAsia" w:ascii="仿宋" w:hAnsi="仿宋" w:eastAsia="仿宋"/>
          <w:szCs w:val="32"/>
        </w:rPr>
        <w:t>领导小</w:t>
      </w:r>
      <w:r>
        <w:rPr>
          <w:rFonts w:ascii="仿宋" w:hAnsi="仿宋" w:eastAsia="仿宋"/>
          <w:szCs w:val="32"/>
        </w:rPr>
        <w:t>组</w:t>
      </w:r>
      <w:r>
        <w:rPr>
          <w:rFonts w:ascii="仿宋" w:hAnsi="仿宋" w:eastAsia="仿宋"/>
        </w:rPr>
        <w:t>，负责</w:t>
      </w:r>
      <w:r>
        <w:rPr>
          <w:rFonts w:hint="eastAsia" w:ascii="仿宋" w:hAnsi="仿宋" w:eastAsia="仿宋"/>
        </w:rPr>
        <w:t>“</w:t>
      </w:r>
      <w:r>
        <w:rPr>
          <w:rFonts w:ascii="仿宋" w:hAnsi="仿宋" w:eastAsia="仿宋"/>
        </w:rPr>
        <w:t>拔尖创新人才培养计划</w:t>
      </w:r>
      <w:r>
        <w:rPr>
          <w:rFonts w:hint="eastAsia" w:ascii="仿宋" w:hAnsi="仿宋" w:eastAsia="仿宋"/>
        </w:rPr>
        <w:t>”各项管理制度</w:t>
      </w:r>
      <w:r>
        <w:rPr>
          <w:rFonts w:ascii="仿宋" w:hAnsi="仿宋" w:eastAsia="仿宋"/>
        </w:rPr>
        <w:t>的组织、管理与考核，包括</w:t>
      </w:r>
      <w:r>
        <w:rPr>
          <w:rFonts w:hint="eastAsia" w:ascii="仿宋" w:hAnsi="仿宋" w:eastAsia="仿宋"/>
        </w:rPr>
        <w:t>导师遴选办法及管理细则的制定，学生选拔办法及管理细则的制定，培养方案制定及确定面试专家组等内容。</w:t>
      </w:r>
    </w:p>
    <w:p w14:paraId="492F027B">
      <w:pPr>
        <w:pStyle w:val="11"/>
        <w:numPr>
          <w:ilvl w:val="0"/>
          <w:numId w:val="1"/>
        </w:numPr>
        <w:tabs>
          <w:tab w:val="left" w:pos="2368"/>
        </w:tabs>
        <w:spacing w:line="640" w:lineRule="exact"/>
        <w:ind w:firstLineChars="0"/>
        <w:rPr>
          <w:rFonts w:ascii="楷体" w:hAnsi="楷体" w:eastAsia="楷体"/>
          <w:szCs w:val="32"/>
        </w:rPr>
      </w:pPr>
      <w:r>
        <w:rPr>
          <w:rFonts w:hint="eastAsia" w:ascii="楷体" w:hAnsi="楷体" w:eastAsia="楷体"/>
          <w:szCs w:val="32"/>
        </w:rPr>
        <w:t>导师遴选</w:t>
      </w:r>
    </w:p>
    <w:p w14:paraId="2B7EF291">
      <w:pPr>
        <w:tabs>
          <w:tab w:val="left" w:pos="2368"/>
        </w:tabs>
        <w:spacing w:line="640" w:lineRule="exact"/>
        <w:ind w:firstLine="640" w:firstLineChars="200"/>
        <w:rPr>
          <w:rFonts w:ascii="仿宋" w:hAnsi="仿宋" w:eastAsia="仿宋"/>
        </w:rPr>
      </w:pPr>
      <w:r>
        <w:rPr>
          <w:rFonts w:hint="eastAsia" w:ascii="仿宋" w:hAnsi="仿宋" w:eastAsia="仿宋"/>
        </w:rPr>
        <w:t>学院选拔师徳师风高尚、学术造诣深、科研条件优越的、原则上独立承担至少</w:t>
      </w:r>
      <w:r>
        <w:rPr>
          <w:rFonts w:ascii="仿宋" w:hAnsi="仿宋" w:eastAsia="仿宋"/>
        </w:rPr>
        <w:t>一门</w:t>
      </w:r>
      <w:r>
        <w:rPr>
          <w:rFonts w:hint="eastAsia" w:ascii="仿宋" w:hAnsi="仿宋" w:eastAsia="仿宋"/>
        </w:rPr>
        <w:t>本科</w:t>
      </w:r>
      <w:r>
        <w:rPr>
          <w:rFonts w:ascii="仿宋" w:hAnsi="仿宋" w:eastAsia="仿宋"/>
        </w:rPr>
        <w:t>课程教学工作</w:t>
      </w:r>
      <w:r>
        <w:rPr>
          <w:rFonts w:hint="eastAsia" w:ascii="仿宋" w:hAnsi="仿宋" w:eastAsia="仿宋"/>
        </w:rPr>
        <w:t>的博士研究生指导教师作为入选学生的导师，</w:t>
      </w:r>
      <w:r>
        <w:rPr>
          <w:rFonts w:ascii="仿宋" w:hAnsi="仿宋" w:eastAsia="仿宋"/>
        </w:rPr>
        <w:t>在奉贤校区开展创</w:t>
      </w:r>
      <w:r>
        <w:rPr>
          <w:rFonts w:hint="eastAsia" w:ascii="仿宋" w:hAnsi="仿宋" w:eastAsia="仿宋"/>
        </w:rPr>
        <w:t>新</w:t>
      </w:r>
      <w:r>
        <w:rPr>
          <w:rFonts w:ascii="仿宋" w:hAnsi="仿宋" w:eastAsia="仿宋"/>
        </w:rPr>
        <w:t>实验项目</w:t>
      </w:r>
      <w:r>
        <w:rPr>
          <w:rFonts w:hint="eastAsia" w:ascii="仿宋" w:hAnsi="仿宋" w:eastAsia="仿宋"/>
        </w:rPr>
        <w:t>的</w:t>
      </w:r>
      <w:r>
        <w:rPr>
          <w:rFonts w:ascii="仿宋" w:hAnsi="仿宋" w:eastAsia="仿宋"/>
        </w:rPr>
        <w:t>导师优先</w:t>
      </w:r>
      <w:r>
        <w:rPr>
          <w:rFonts w:hint="eastAsia" w:ascii="仿宋" w:hAnsi="仿宋" w:eastAsia="仿宋"/>
        </w:rPr>
        <w:t>入选。导师与学生实行双向选择，原则上每位导师在同一年级招收一名入选学生。对承担国家重大科技任务的导师，招生名额可适当倾斜，但至多不超过两名。入选学生在本科三年级下学期末前可有一次机会申请更换导师。</w:t>
      </w:r>
    </w:p>
    <w:p w14:paraId="402C5BE6">
      <w:pPr>
        <w:tabs>
          <w:tab w:val="left" w:pos="2368"/>
        </w:tabs>
        <w:spacing w:line="640" w:lineRule="exact"/>
        <w:jc w:val="center"/>
        <w:rPr>
          <w:rFonts w:ascii="黑体" w:hAnsi="黑体" w:eastAsia="黑体"/>
          <w:szCs w:val="32"/>
        </w:rPr>
      </w:pPr>
    </w:p>
    <w:p w14:paraId="00CE5B61">
      <w:pPr>
        <w:tabs>
          <w:tab w:val="left" w:pos="2368"/>
        </w:tabs>
        <w:spacing w:line="640" w:lineRule="exact"/>
        <w:jc w:val="center"/>
        <w:rPr>
          <w:rFonts w:ascii="黑体" w:hAnsi="黑体" w:eastAsia="黑体"/>
          <w:szCs w:val="32"/>
        </w:rPr>
      </w:pPr>
      <w:r>
        <w:rPr>
          <w:rFonts w:hint="eastAsia" w:ascii="黑体" w:hAnsi="黑体" w:eastAsia="黑体"/>
          <w:szCs w:val="32"/>
        </w:rPr>
        <w:t xml:space="preserve">第二部分 </w:t>
      </w:r>
      <w:r>
        <w:rPr>
          <w:rFonts w:ascii="黑体" w:hAnsi="黑体" w:eastAsia="黑体"/>
          <w:szCs w:val="32"/>
        </w:rPr>
        <w:t xml:space="preserve"> 选拔</w:t>
      </w:r>
      <w:r>
        <w:rPr>
          <w:rFonts w:hint="eastAsia" w:ascii="黑体" w:hAnsi="黑体" w:eastAsia="黑体"/>
          <w:szCs w:val="32"/>
        </w:rPr>
        <w:t>机制</w:t>
      </w:r>
    </w:p>
    <w:p w14:paraId="07943D08">
      <w:pPr>
        <w:tabs>
          <w:tab w:val="left" w:pos="2368"/>
        </w:tabs>
        <w:spacing w:line="640" w:lineRule="exact"/>
        <w:ind w:firstLine="640" w:firstLineChars="200"/>
        <w:rPr>
          <w:rFonts w:ascii="仿宋" w:hAnsi="仿宋" w:eastAsia="仿宋"/>
          <w:szCs w:val="32"/>
        </w:rPr>
      </w:pPr>
      <w:r>
        <w:rPr>
          <w:rFonts w:hint="eastAsia" w:ascii="楷体" w:hAnsi="楷体" w:eastAsia="楷体"/>
          <w:szCs w:val="32"/>
        </w:rPr>
        <w:t>第三</w:t>
      </w:r>
      <w:r>
        <w:rPr>
          <w:rFonts w:ascii="楷体" w:hAnsi="楷体" w:eastAsia="楷体"/>
          <w:szCs w:val="32"/>
        </w:rPr>
        <w:t>条</w:t>
      </w:r>
      <w:r>
        <w:rPr>
          <w:rFonts w:hint="eastAsia" w:ascii="楷体" w:hAnsi="楷体" w:eastAsia="楷体"/>
          <w:szCs w:val="32"/>
        </w:rPr>
        <w:t>培养</w:t>
      </w:r>
      <w:r>
        <w:rPr>
          <w:rFonts w:ascii="楷体" w:hAnsi="楷体" w:eastAsia="楷体"/>
          <w:szCs w:val="32"/>
        </w:rPr>
        <w:t>模式</w:t>
      </w:r>
    </w:p>
    <w:p w14:paraId="5CF61680">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“拔尖创新人才</w:t>
      </w:r>
      <w:r>
        <w:rPr>
          <w:rFonts w:ascii="仿宋" w:hAnsi="仿宋" w:eastAsia="仿宋"/>
          <w:szCs w:val="32"/>
        </w:rPr>
        <w:t>培养计划</w:t>
      </w:r>
      <w:r>
        <w:rPr>
          <w:rFonts w:hint="eastAsia" w:ascii="仿宋" w:hAnsi="仿宋" w:eastAsia="仿宋"/>
          <w:szCs w:val="32"/>
        </w:rPr>
        <w:t>”实行“</w:t>
      </w:r>
      <w:r>
        <w:rPr>
          <w:rFonts w:eastAsia="仿宋"/>
          <w:szCs w:val="32"/>
        </w:rPr>
        <w:t>3+1+</w:t>
      </w:r>
      <w:r>
        <w:rPr>
          <w:rFonts w:hint="eastAsia" w:eastAsia="仿宋"/>
          <w:szCs w:val="32"/>
        </w:rPr>
        <w:t>X</w:t>
      </w:r>
      <w:r>
        <w:rPr>
          <w:rFonts w:hint="eastAsia" w:ascii="仿宋" w:hAnsi="仿宋" w:eastAsia="仿宋"/>
          <w:szCs w:val="32"/>
        </w:rPr>
        <w:t>”培养</w:t>
      </w:r>
      <w:r>
        <w:rPr>
          <w:rFonts w:ascii="仿宋" w:hAnsi="仿宋" w:eastAsia="仿宋"/>
          <w:szCs w:val="32"/>
        </w:rPr>
        <w:t>模式</w:t>
      </w:r>
      <w:r>
        <w:rPr>
          <w:rFonts w:hint="eastAsia" w:ascii="仿宋" w:hAnsi="仿宋" w:eastAsia="仿宋"/>
          <w:szCs w:val="32"/>
        </w:rPr>
        <w:t>，是指在完成3年本科课程学习和1年研究生课程学习后，进行X年科研学习的贯通式培养模式。</w:t>
      </w:r>
      <w:r>
        <w:rPr>
          <w:rFonts w:ascii="仿宋" w:hAnsi="仿宋" w:eastAsia="仿宋"/>
          <w:szCs w:val="32"/>
        </w:rPr>
        <w:t>学生前三年完成除</w:t>
      </w:r>
      <w:r>
        <w:rPr>
          <w:rFonts w:hint="eastAsia" w:ascii="仿宋" w:hAnsi="仿宋" w:eastAsia="仿宋"/>
          <w:szCs w:val="32"/>
        </w:rPr>
        <w:t>毕业环节以外</w:t>
      </w:r>
      <w:r>
        <w:rPr>
          <w:rFonts w:ascii="仿宋" w:hAnsi="仿宋" w:eastAsia="仿宋"/>
          <w:szCs w:val="32"/>
        </w:rPr>
        <w:t>的本科课程</w:t>
      </w:r>
      <w:r>
        <w:rPr>
          <w:rFonts w:hint="eastAsia" w:ascii="仿宋" w:hAnsi="仿宋" w:eastAsia="仿宋"/>
          <w:szCs w:val="32"/>
        </w:rPr>
        <w:t>；</w:t>
      </w:r>
      <w:r>
        <w:rPr>
          <w:rFonts w:ascii="仿宋" w:hAnsi="仿宋" w:eastAsia="仿宋"/>
          <w:szCs w:val="32"/>
        </w:rPr>
        <w:t>第四年可提前进行研究生课程的学习，并完成本科毕业</w:t>
      </w:r>
      <w:r>
        <w:rPr>
          <w:rFonts w:hint="eastAsia" w:ascii="仿宋" w:hAnsi="仿宋" w:eastAsia="仿宋"/>
          <w:szCs w:val="32"/>
        </w:rPr>
        <w:t>环节，</w:t>
      </w:r>
      <w:r>
        <w:rPr>
          <w:rFonts w:ascii="仿宋" w:hAnsi="仿宋" w:eastAsia="仿宋"/>
          <w:szCs w:val="32"/>
        </w:rPr>
        <w:t>四年期满</w:t>
      </w:r>
      <w:r>
        <w:rPr>
          <w:rFonts w:hint="eastAsia" w:ascii="仿宋" w:hAnsi="仿宋" w:eastAsia="仿宋"/>
          <w:szCs w:val="32"/>
        </w:rPr>
        <w:t>并</w:t>
      </w:r>
      <w:r>
        <w:rPr>
          <w:rFonts w:ascii="仿宋" w:hAnsi="仿宋" w:eastAsia="仿宋"/>
          <w:szCs w:val="32"/>
        </w:rPr>
        <w:t>符合</w:t>
      </w:r>
      <w:r>
        <w:rPr>
          <w:rFonts w:hint="eastAsia" w:ascii="仿宋" w:hAnsi="仿宋" w:eastAsia="仿宋"/>
          <w:szCs w:val="32"/>
        </w:rPr>
        <w:t>拔尖创新人才计划</w:t>
      </w:r>
      <w:r>
        <w:rPr>
          <w:rFonts w:ascii="仿宋" w:hAnsi="仿宋" w:eastAsia="仿宋"/>
          <w:szCs w:val="32"/>
        </w:rPr>
        <w:t>培养方案毕业要求，可获得</w:t>
      </w:r>
      <w:r>
        <w:rPr>
          <w:rFonts w:hint="eastAsia" w:ascii="仿宋" w:hAnsi="仿宋" w:eastAsia="仿宋"/>
          <w:szCs w:val="32"/>
        </w:rPr>
        <w:t>“生物工程”或“生物科学”</w:t>
      </w:r>
      <w:r>
        <w:rPr>
          <w:rFonts w:ascii="仿宋" w:hAnsi="仿宋" w:eastAsia="仿宋"/>
          <w:szCs w:val="32"/>
        </w:rPr>
        <w:t>学士学位</w:t>
      </w:r>
      <w:r>
        <w:rPr>
          <w:rFonts w:hint="eastAsia" w:ascii="仿宋" w:hAnsi="仿宋" w:eastAsia="仿宋"/>
          <w:szCs w:val="32"/>
        </w:rPr>
        <w:t>；</w:t>
      </w:r>
      <w:r>
        <w:rPr>
          <w:rFonts w:ascii="仿宋" w:hAnsi="仿宋" w:eastAsia="仿宋"/>
          <w:szCs w:val="32"/>
        </w:rPr>
        <w:t>从第五年起取得研究生学籍，攻读</w:t>
      </w:r>
      <w:r>
        <w:rPr>
          <w:rFonts w:hint="eastAsia" w:ascii="仿宋" w:hAnsi="仿宋" w:eastAsia="仿宋"/>
          <w:szCs w:val="32"/>
        </w:rPr>
        <w:t>“生物工程”或“生物学”</w:t>
      </w:r>
      <w:r>
        <w:rPr>
          <w:rFonts w:ascii="仿宋" w:hAnsi="仿宋" w:eastAsia="仿宋"/>
          <w:szCs w:val="32"/>
        </w:rPr>
        <w:t>博士</w:t>
      </w:r>
      <w:r>
        <w:rPr>
          <w:rFonts w:hint="eastAsia" w:ascii="仿宋" w:hAnsi="仿宋" w:eastAsia="仿宋"/>
          <w:szCs w:val="32"/>
        </w:rPr>
        <w:t>学位</w:t>
      </w:r>
      <w:r>
        <w:rPr>
          <w:rFonts w:ascii="仿宋" w:hAnsi="仿宋" w:eastAsia="仿宋"/>
          <w:szCs w:val="32"/>
        </w:rPr>
        <w:t>。</w:t>
      </w:r>
    </w:p>
    <w:p w14:paraId="67CA137D">
      <w:pPr>
        <w:tabs>
          <w:tab w:val="left" w:pos="2368"/>
        </w:tabs>
        <w:spacing w:line="640" w:lineRule="exact"/>
        <w:ind w:firstLine="640" w:firstLineChars="200"/>
        <w:rPr>
          <w:rFonts w:ascii="楷体" w:hAnsi="楷体" w:eastAsia="楷体"/>
          <w:szCs w:val="32"/>
        </w:rPr>
      </w:pPr>
      <w:r>
        <w:rPr>
          <w:rFonts w:hint="eastAsia" w:ascii="楷体" w:hAnsi="楷体" w:eastAsia="楷体"/>
          <w:szCs w:val="32"/>
        </w:rPr>
        <w:t xml:space="preserve">第四条 选拔 </w:t>
      </w:r>
    </w:p>
    <w:p w14:paraId="4E5A829E">
      <w:pPr>
        <w:pStyle w:val="11"/>
        <w:numPr>
          <w:ilvl w:val="0"/>
          <w:numId w:val="2"/>
        </w:numPr>
        <w:tabs>
          <w:tab w:val="left" w:pos="2368"/>
        </w:tabs>
        <w:spacing w:line="640" w:lineRule="exact"/>
        <w:ind w:firstLineChars="0"/>
        <w:rPr>
          <w:rFonts w:ascii="仿宋" w:hAnsi="仿宋" w:eastAsia="仿宋"/>
          <w:szCs w:val="32"/>
        </w:rPr>
      </w:pPr>
      <w:r>
        <w:rPr>
          <w:rFonts w:hint="eastAsia" w:ascii="仿宋" w:hAnsi="仿宋" w:eastAsia="仿宋"/>
          <w:szCs w:val="32"/>
        </w:rPr>
        <w:t>选拔范围</w:t>
      </w:r>
    </w:p>
    <w:p w14:paraId="0151C9EF">
      <w:pPr>
        <w:tabs>
          <w:tab w:val="left" w:pos="2368"/>
        </w:tabs>
        <w:spacing w:line="640" w:lineRule="exact"/>
        <w:ind w:firstLine="640" w:firstLineChars="200"/>
        <w:rPr>
          <w:rFonts w:ascii="仿宋" w:hAnsi="仿宋" w:eastAsia="仿宋"/>
          <w:szCs w:val="32"/>
        </w:rPr>
      </w:pPr>
      <w:r>
        <w:rPr>
          <w:rFonts w:ascii="仿宋" w:hAnsi="仿宋" w:eastAsia="仿宋"/>
          <w:szCs w:val="32"/>
        </w:rPr>
        <w:t>考核</w:t>
      </w:r>
      <w:r>
        <w:rPr>
          <w:rFonts w:hint="eastAsia" w:ascii="仿宋" w:hAnsi="仿宋" w:eastAsia="仿宋"/>
          <w:szCs w:val="32"/>
        </w:rPr>
        <w:t>领导小</w:t>
      </w:r>
      <w:r>
        <w:rPr>
          <w:rFonts w:ascii="仿宋" w:hAnsi="仿宋" w:eastAsia="仿宋"/>
          <w:szCs w:val="32"/>
        </w:rPr>
        <w:t>组</w:t>
      </w:r>
      <w:r>
        <w:rPr>
          <w:rFonts w:hint="eastAsia" w:ascii="仿宋" w:hAnsi="仿宋" w:eastAsia="仿宋"/>
          <w:szCs w:val="32"/>
        </w:rPr>
        <w:t>面向学</w:t>
      </w:r>
      <w:r>
        <w:rPr>
          <w:rFonts w:ascii="仿宋" w:hAnsi="仿宋" w:eastAsia="仿宋"/>
          <w:szCs w:val="32"/>
        </w:rPr>
        <w:t>院内本科</w:t>
      </w:r>
      <w:r>
        <w:rPr>
          <w:rFonts w:hint="eastAsia" w:ascii="仿宋" w:hAnsi="仿宋" w:eastAsia="仿宋"/>
          <w:szCs w:val="32"/>
        </w:rPr>
        <w:t>二年级学生公开选拔</w:t>
      </w:r>
      <w:r>
        <w:rPr>
          <w:rFonts w:ascii="仿宋" w:hAnsi="仿宋" w:eastAsia="仿宋"/>
          <w:szCs w:val="32"/>
        </w:rPr>
        <w:t>，</w:t>
      </w:r>
      <w:r>
        <w:rPr>
          <w:rFonts w:hint="eastAsia" w:ascii="仿宋" w:hAnsi="仿宋" w:eastAsia="仿宋"/>
          <w:szCs w:val="32"/>
        </w:rPr>
        <w:t>以道德品质优良、学习成绩优异、具有科研创新潜力的优秀学生为选拔对象。候选人在规定时间内先进行报名。</w:t>
      </w:r>
      <w:r>
        <w:rPr>
          <w:rFonts w:ascii="仿宋" w:hAnsi="仿宋" w:eastAsia="仿宋"/>
          <w:szCs w:val="32"/>
        </w:rPr>
        <w:t>考核</w:t>
      </w:r>
      <w:r>
        <w:rPr>
          <w:rFonts w:hint="eastAsia" w:ascii="仿宋" w:hAnsi="仿宋" w:eastAsia="仿宋"/>
          <w:szCs w:val="32"/>
        </w:rPr>
        <w:t>领导小</w:t>
      </w:r>
      <w:r>
        <w:rPr>
          <w:rFonts w:ascii="仿宋" w:hAnsi="仿宋" w:eastAsia="仿宋"/>
          <w:szCs w:val="32"/>
        </w:rPr>
        <w:t>组</w:t>
      </w:r>
      <w:r>
        <w:rPr>
          <w:rFonts w:hint="eastAsia" w:ascii="仿宋" w:hAnsi="仿宋" w:eastAsia="仿宋"/>
          <w:szCs w:val="32"/>
        </w:rPr>
        <w:t>依据其在本科</w:t>
      </w:r>
      <w:r>
        <w:rPr>
          <w:rFonts w:ascii="仿宋" w:hAnsi="仿宋" w:eastAsia="仿宋"/>
          <w:szCs w:val="32"/>
        </w:rPr>
        <w:t>一年级</w:t>
      </w:r>
      <w:r>
        <w:rPr>
          <w:rFonts w:hint="eastAsia" w:ascii="仿宋" w:hAnsi="仿宋" w:eastAsia="仿宋"/>
          <w:szCs w:val="32"/>
        </w:rPr>
        <w:t>已完成</w:t>
      </w:r>
      <w:r>
        <w:rPr>
          <w:rFonts w:ascii="仿宋" w:hAnsi="仿宋" w:eastAsia="仿宋"/>
          <w:szCs w:val="32"/>
        </w:rPr>
        <w:t>的</w:t>
      </w:r>
      <w:r>
        <w:rPr>
          <w:rFonts w:hint="eastAsia" w:ascii="仿宋" w:hAnsi="仿宋" w:eastAsia="仿宋"/>
          <w:szCs w:val="32"/>
        </w:rPr>
        <w:t>课程</w:t>
      </w:r>
      <w:r>
        <w:rPr>
          <w:rFonts w:ascii="仿宋" w:hAnsi="仿宋" w:eastAsia="仿宋"/>
          <w:szCs w:val="32"/>
        </w:rPr>
        <w:t>成绩和</w:t>
      </w:r>
      <w:r>
        <w:rPr>
          <w:rFonts w:hint="eastAsia" w:ascii="仿宋" w:hAnsi="仿宋" w:eastAsia="仿宋"/>
          <w:szCs w:val="32"/>
        </w:rPr>
        <w:t>面试</w:t>
      </w:r>
      <w:r>
        <w:rPr>
          <w:rFonts w:ascii="仿宋" w:hAnsi="仿宋" w:eastAsia="仿宋"/>
          <w:szCs w:val="32"/>
        </w:rPr>
        <w:t>专家组对科研素质等能力进行面试考核的成绩</w:t>
      </w:r>
      <w:r>
        <w:rPr>
          <w:rFonts w:hint="eastAsia" w:ascii="仿宋" w:hAnsi="仿宋" w:eastAsia="仿宋"/>
          <w:szCs w:val="32"/>
        </w:rPr>
        <w:t>，</w:t>
      </w:r>
      <w:r>
        <w:rPr>
          <w:rFonts w:ascii="仿宋" w:hAnsi="仿宋" w:eastAsia="仿宋"/>
          <w:szCs w:val="32"/>
        </w:rPr>
        <w:t>本着公平公正、</w:t>
      </w:r>
      <w:r>
        <w:rPr>
          <w:rFonts w:hint="eastAsia" w:ascii="仿宋" w:hAnsi="仿宋" w:eastAsia="仿宋"/>
          <w:szCs w:val="32"/>
        </w:rPr>
        <w:t>择优录取原则遴选</w:t>
      </w:r>
      <w:r>
        <w:rPr>
          <w:rFonts w:ascii="仿宋" w:hAnsi="仿宋" w:eastAsia="仿宋"/>
          <w:szCs w:val="32"/>
        </w:rPr>
        <w:t>20位</w:t>
      </w:r>
      <w:r>
        <w:rPr>
          <w:rFonts w:hint="eastAsia" w:ascii="仿宋" w:hAnsi="仿宋" w:eastAsia="仿宋"/>
          <w:szCs w:val="32"/>
        </w:rPr>
        <w:t>以内</w:t>
      </w:r>
      <w:r>
        <w:rPr>
          <w:rFonts w:ascii="仿宋" w:hAnsi="仿宋" w:eastAsia="仿宋"/>
          <w:szCs w:val="32"/>
        </w:rPr>
        <w:t>优秀本科生进入</w:t>
      </w:r>
      <w:r>
        <w:rPr>
          <w:rFonts w:hint="eastAsia" w:ascii="仿宋" w:hAnsi="仿宋" w:eastAsia="仿宋"/>
          <w:szCs w:val="32"/>
        </w:rPr>
        <w:t>“</w:t>
      </w:r>
      <w:r>
        <w:rPr>
          <w:rFonts w:ascii="仿宋" w:hAnsi="仿宋" w:eastAsia="仿宋"/>
          <w:szCs w:val="32"/>
        </w:rPr>
        <w:t>拔尖创新人才培养计划</w:t>
      </w:r>
      <w:r>
        <w:rPr>
          <w:rFonts w:hint="eastAsia" w:ascii="仿宋" w:hAnsi="仿宋" w:eastAsia="仿宋"/>
          <w:szCs w:val="32"/>
        </w:rPr>
        <w:t>”。</w:t>
      </w:r>
    </w:p>
    <w:p w14:paraId="7682267D">
      <w:pPr>
        <w:pStyle w:val="11"/>
        <w:numPr>
          <w:ilvl w:val="0"/>
          <w:numId w:val="2"/>
        </w:numPr>
        <w:tabs>
          <w:tab w:val="left" w:pos="2368"/>
        </w:tabs>
        <w:spacing w:line="640" w:lineRule="exact"/>
        <w:ind w:firstLineChars="0"/>
        <w:rPr>
          <w:rFonts w:ascii="仿宋" w:hAnsi="仿宋" w:eastAsia="仿宋"/>
          <w:szCs w:val="32"/>
        </w:rPr>
      </w:pPr>
      <w:r>
        <w:rPr>
          <w:rFonts w:hint="eastAsia" w:ascii="仿宋" w:hAnsi="仿宋" w:eastAsia="仿宋"/>
          <w:szCs w:val="32"/>
        </w:rPr>
        <w:t>专业选择</w:t>
      </w:r>
    </w:p>
    <w:p w14:paraId="13C4F782">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生物工程学院开设“生物工程”和“生物学”两个拔尖人才培养计划。入选学生申请时应确定申报的专业。如果培养过程中更换导师，应根据新导师的上岗专业确定所选专业，但原则上本科专业不变更。</w:t>
      </w:r>
    </w:p>
    <w:p w14:paraId="39BC83D5">
      <w:pPr>
        <w:pStyle w:val="11"/>
        <w:numPr>
          <w:ilvl w:val="0"/>
          <w:numId w:val="2"/>
        </w:numPr>
        <w:tabs>
          <w:tab w:val="left" w:pos="2368"/>
        </w:tabs>
        <w:spacing w:line="640" w:lineRule="exact"/>
        <w:ind w:firstLineChars="0"/>
        <w:rPr>
          <w:rFonts w:ascii="黑体" w:eastAsia="黑体"/>
          <w:szCs w:val="32"/>
        </w:rPr>
      </w:pPr>
      <w:r>
        <w:rPr>
          <w:rFonts w:hint="eastAsia" w:ascii="仿宋" w:hAnsi="仿宋" w:eastAsia="仿宋"/>
          <w:szCs w:val="32"/>
        </w:rPr>
        <w:t>分配原则</w:t>
      </w:r>
    </w:p>
    <w:p w14:paraId="101A4A17">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（一）名额分配原则：依据学院生物工程类和食品科学与工程类一年级本科学生数进行分配。</w:t>
      </w:r>
    </w:p>
    <w:p w14:paraId="5B990CC6">
      <w:pPr>
        <w:pStyle w:val="3"/>
        <w:spacing w:line="600" w:lineRule="exact"/>
        <w:ind w:firstLine="640" w:firstLineChars="200"/>
        <w:rPr>
          <w:rFonts w:ascii="仿宋" w:hAnsi="仿宋" w:eastAsia="仿宋"/>
          <w:sz w:val="32"/>
          <w:szCs w:val="32"/>
        </w:rPr>
      </w:pPr>
      <w:r>
        <w:rPr>
          <w:rFonts w:hint="eastAsia" w:ascii="仿宋_GB2312" w:eastAsia="仿宋_GB2312"/>
          <w:sz w:val="32"/>
          <w:szCs w:val="32"/>
        </w:rPr>
        <w:t>（二）</w:t>
      </w:r>
      <w:r>
        <w:rPr>
          <w:rFonts w:hint="eastAsia" w:ascii="仿宋" w:hAnsi="仿宋" w:eastAsia="仿宋"/>
          <w:sz w:val="32"/>
          <w:szCs w:val="32"/>
        </w:rPr>
        <w:t>候选人名额分配原则：根据</w:t>
      </w:r>
      <w:r>
        <w:rPr>
          <w:rFonts w:ascii="仿宋" w:hAnsi="仿宋" w:eastAsia="仿宋"/>
          <w:sz w:val="32"/>
          <w:szCs w:val="32"/>
        </w:rPr>
        <w:t>考核</w:t>
      </w:r>
      <w:r>
        <w:rPr>
          <w:rFonts w:hint="eastAsia" w:ascii="仿宋" w:hAnsi="仿宋" w:eastAsia="仿宋"/>
          <w:sz w:val="32"/>
          <w:szCs w:val="32"/>
        </w:rPr>
        <w:t>领导小</w:t>
      </w:r>
      <w:r>
        <w:rPr>
          <w:rFonts w:ascii="仿宋" w:hAnsi="仿宋" w:eastAsia="仿宋"/>
          <w:sz w:val="32"/>
          <w:szCs w:val="32"/>
        </w:rPr>
        <w:t>组</w:t>
      </w:r>
      <w:r>
        <w:rPr>
          <w:rFonts w:hint="eastAsia" w:ascii="仿宋" w:hAnsi="仿宋" w:eastAsia="仿宋"/>
          <w:sz w:val="32"/>
          <w:szCs w:val="32"/>
        </w:rPr>
        <w:t>分配给生物工程类和食品科学与工程类类“拔尖创新人才计划”名额的1.1-1.4倍确定候选人名额。根据候选人本科必修课程平均成绩排名，经学院</w:t>
      </w:r>
      <w:r>
        <w:rPr>
          <w:rFonts w:ascii="仿宋" w:hAnsi="仿宋" w:eastAsia="仿宋"/>
          <w:sz w:val="32"/>
          <w:szCs w:val="32"/>
        </w:rPr>
        <w:t>考核</w:t>
      </w:r>
      <w:r>
        <w:rPr>
          <w:rFonts w:hint="eastAsia" w:ascii="仿宋" w:hAnsi="仿宋" w:eastAsia="仿宋"/>
          <w:sz w:val="32"/>
          <w:szCs w:val="32"/>
        </w:rPr>
        <w:t>领导小</w:t>
      </w:r>
      <w:r>
        <w:rPr>
          <w:rFonts w:ascii="仿宋" w:hAnsi="仿宋" w:eastAsia="仿宋"/>
          <w:sz w:val="32"/>
          <w:szCs w:val="32"/>
        </w:rPr>
        <w:t>组</w:t>
      </w:r>
      <w:r>
        <w:rPr>
          <w:rFonts w:hint="eastAsia" w:ascii="仿宋" w:hAnsi="仿宋" w:eastAsia="仿宋"/>
          <w:sz w:val="32"/>
          <w:szCs w:val="32"/>
        </w:rPr>
        <w:t>审核通过后，在学院网站公示候选人名单，公示期</w:t>
      </w:r>
      <w:r>
        <w:rPr>
          <w:rFonts w:ascii="仿宋" w:hAnsi="仿宋" w:eastAsia="仿宋"/>
          <w:sz w:val="32"/>
          <w:szCs w:val="32"/>
        </w:rPr>
        <w:t>5</w:t>
      </w:r>
      <w:r>
        <w:rPr>
          <w:rFonts w:hint="eastAsia" w:ascii="仿宋" w:hAnsi="仿宋" w:eastAsia="仿宋"/>
          <w:sz w:val="32"/>
          <w:szCs w:val="32"/>
        </w:rPr>
        <w:t>天。公示结束后，由</w:t>
      </w:r>
      <w:r>
        <w:rPr>
          <w:rFonts w:ascii="仿宋" w:hAnsi="仿宋" w:eastAsia="仿宋"/>
          <w:sz w:val="32"/>
          <w:szCs w:val="32"/>
        </w:rPr>
        <w:t>考核</w:t>
      </w:r>
      <w:r>
        <w:rPr>
          <w:rFonts w:hint="eastAsia" w:ascii="仿宋" w:hAnsi="仿宋" w:eastAsia="仿宋"/>
          <w:sz w:val="32"/>
          <w:szCs w:val="32"/>
        </w:rPr>
        <w:t>领导小</w:t>
      </w:r>
      <w:r>
        <w:rPr>
          <w:rFonts w:ascii="仿宋" w:hAnsi="仿宋" w:eastAsia="仿宋"/>
          <w:sz w:val="32"/>
          <w:szCs w:val="32"/>
        </w:rPr>
        <w:t>组确定面试专家组</w:t>
      </w:r>
      <w:r>
        <w:rPr>
          <w:rFonts w:hint="eastAsia" w:ascii="仿宋" w:hAnsi="仿宋" w:eastAsia="仿宋"/>
          <w:sz w:val="32"/>
          <w:szCs w:val="32"/>
        </w:rPr>
        <w:t>对候选人进行面试。</w:t>
      </w:r>
    </w:p>
    <w:p w14:paraId="198BFF85">
      <w:pPr>
        <w:pStyle w:val="3"/>
        <w:spacing w:line="600" w:lineRule="exact"/>
        <w:ind w:firstLine="640" w:firstLineChars="200"/>
        <w:rPr>
          <w:rFonts w:ascii="仿宋_GB2312" w:eastAsia="仿宋_GB2312"/>
          <w:sz w:val="32"/>
          <w:szCs w:val="32"/>
        </w:rPr>
      </w:pPr>
      <w:r>
        <w:rPr>
          <w:rFonts w:hint="eastAsia" w:ascii="仿宋_GB2312" w:eastAsia="仿宋_GB2312"/>
          <w:sz w:val="32"/>
          <w:szCs w:val="32"/>
        </w:rPr>
        <w:t>（三）</w:t>
      </w:r>
      <w:r>
        <w:rPr>
          <w:rFonts w:hint="eastAsia" w:ascii="仿宋" w:hAnsi="仿宋" w:eastAsia="仿宋"/>
          <w:sz w:val="32"/>
          <w:szCs w:val="32"/>
        </w:rPr>
        <w:t>若某类的候选人报名人数少于分配名额，则</w:t>
      </w:r>
      <w:r>
        <w:rPr>
          <w:rFonts w:ascii="仿宋" w:hAnsi="仿宋" w:eastAsia="仿宋"/>
          <w:sz w:val="32"/>
          <w:szCs w:val="32"/>
        </w:rPr>
        <w:t>考核</w:t>
      </w:r>
      <w:r>
        <w:rPr>
          <w:rFonts w:hint="eastAsia" w:ascii="仿宋" w:hAnsi="仿宋" w:eastAsia="仿宋"/>
          <w:sz w:val="32"/>
          <w:szCs w:val="32"/>
        </w:rPr>
        <w:t>领导小</w:t>
      </w:r>
      <w:r>
        <w:rPr>
          <w:rFonts w:ascii="仿宋" w:hAnsi="仿宋" w:eastAsia="仿宋"/>
          <w:sz w:val="32"/>
          <w:szCs w:val="32"/>
        </w:rPr>
        <w:t>组</w:t>
      </w:r>
      <w:r>
        <w:rPr>
          <w:rFonts w:hint="eastAsia" w:ascii="仿宋" w:hAnsi="仿宋" w:eastAsia="仿宋"/>
          <w:sz w:val="32"/>
          <w:szCs w:val="32"/>
        </w:rPr>
        <w:t>可以动态在两大类中调整名额。</w:t>
      </w:r>
    </w:p>
    <w:p w14:paraId="2AD640E6">
      <w:pPr>
        <w:pStyle w:val="3"/>
        <w:spacing w:line="600" w:lineRule="exact"/>
        <w:ind w:firstLine="640" w:firstLineChars="200"/>
        <w:rPr>
          <w:rFonts w:ascii="仿宋" w:hAnsi="仿宋" w:eastAsia="仿宋"/>
          <w:szCs w:val="32"/>
        </w:rPr>
      </w:pPr>
      <w:r>
        <w:rPr>
          <w:rFonts w:ascii="仿宋" w:hAnsi="仿宋" w:eastAsia="仿宋"/>
          <w:sz w:val="32"/>
          <w:szCs w:val="32"/>
        </w:rPr>
        <w:t>4</w:t>
      </w:r>
      <w:r>
        <w:rPr>
          <w:rFonts w:hint="eastAsia" w:ascii="仿宋" w:hAnsi="仿宋" w:eastAsia="仿宋"/>
          <w:sz w:val="32"/>
          <w:szCs w:val="32"/>
        </w:rPr>
        <w:t>. 候选人的基本条件</w:t>
      </w:r>
    </w:p>
    <w:p w14:paraId="78847824">
      <w:pPr>
        <w:pStyle w:val="3"/>
        <w:spacing w:line="600" w:lineRule="exact"/>
        <w:ind w:firstLine="640" w:firstLineChars="200"/>
        <w:rPr>
          <w:rFonts w:ascii="仿宋" w:hAnsi="仿宋" w:eastAsia="仿宋"/>
          <w:sz w:val="32"/>
          <w:szCs w:val="32"/>
        </w:rPr>
      </w:pPr>
      <w:r>
        <w:rPr>
          <w:rFonts w:hint="eastAsia" w:ascii="仿宋" w:hAnsi="仿宋" w:eastAsia="仿宋"/>
          <w:sz w:val="32"/>
          <w:szCs w:val="32"/>
        </w:rPr>
        <w:t>（一）坚持习近平新时代中国特色社会主义思想,拥护党的方针政策，遵纪守法，品行端正，热爱公益事业,关心集体,成绩优异。在校期间未受过学校任何考试违纪处分或其他行政记过及以上处分，无违反学术诚信道德的行为。</w:t>
      </w:r>
    </w:p>
    <w:p w14:paraId="0D01ECF3">
      <w:pPr>
        <w:pStyle w:val="3"/>
        <w:spacing w:line="600" w:lineRule="exact"/>
        <w:ind w:firstLine="640" w:firstLineChars="200"/>
        <w:rPr>
          <w:rFonts w:ascii="仿宋" w:hAnsi="仿宋" w:eastAsia="仿宋"/>
          <w:sz w:val="32"/>
          <w:szCs w:val="32"/>
        </w:rPr>
      </w:pPr>
      <w:r>
        <w:rPr>
          <w:rFonts w:hint="eastAsia" w:ascii="仿宋" w:hAnsi="仿宋" w:eastAsia="仿宋"/>
          <w:sz w:val="32"/>
          <w:szCs w:val="32"/>
        </w:rPr>
        <w:t>（二）按照本专业《本科教学培养方案》的规定，原则上一年级所学必修课程平均成绩在专业大类范围位前3</w:t>
      </w:r>
      <w:r>
        <w:rPr>
          <w:rFonts w:ascii="仿宋" w:hAnsi="仿宋" w:eastAsia="仿宋"/>
          <w:sz w:val="32"/>
          <w:szCs w:val="32"/>
        </w:rPr>
        <w:t>0</w:t>
      </w:r>
      <w:r>
        <w:rPr>
          <w:rFonts w:hint="eastAsia" w:ascii="仿宋" w:hAnsi="仿宋" w:eastAsia="仿宋"/>
          <w:sz w:val="32"/>
          <w:szCs w:val="32"/>
        </w:rPr>
        <w:t>%，必修课程全部及格。</w:t>
      </w:r>
    </w:p>
    <w:p w14:paraId="1DEBE119">
      <w:pPr>
        <w:pStyle w:val="3"/>
        <w:spacing w:line="600" w:lineRule="exact"/>
        <w:ind w:firstLine="640" w:firstLineChars="200"/>
        <w:rPr>
          <w:rFonts w:ascii="仿宋" w:hAnsi="仿宋" w:eastAsia="仿宋"/>
          <w:sz w:val="32"/>
          <w:szCs w:val="32"/>
        </w:rPr>
      </w:pPr>
      <w:r>
        <w:rPr>
          <w:rFonts w:hint="eastAsia" w:ascii="仿宋" w:hAnsi="仿宋" w:eastAsia="仿宋"/>
          <w:sz w:val="32"/>
          <w:szCs w:val="32"/>
        </w:rPr>
        <w:t>（三）健康状况良好。</w:t>
      </w:r>
    </w:p>
    <w:p w14:paraId="7D27461C">
      <w:pPr>
        <w:pStyle w:val="3"/>
        <w:spacing w:line="600" w:lineRule="exact"/>
        <w:ind w:firstLine="640" w:firstLineChars="200"/>
        <w:rPr>
          <w:rFonts w:ascii="仿宋" w:hAnsi="仿宋" w:eastAsia="仿宋"/>
          <w:szCs w:val="32"/>
        </w:rPr>
      </w:pPr>
      <w:r>
        <w:rPr>
          <w:rFonts w:ascii="仿宋" w:hAnsi="仿宋" w:eastAsia="仿宋"/>
          <w:sz w:val="32"/>
          <w:szCs w:val="32"/>
        </w:rPr>
        <w:t xml:space="preserve">5. </w:t>
      </w:r>
      <w:r>
        <w:rPr>
          <w:rFonts w:hint="eastAsia" w:ascii="仿宋" w:hAnsi="仿宋" w:eastAsia="仿宋"/>
          <w:sz w:val="32"/>
          <w:szCs w:val="32"/>
        </w:rPr>
        <w:t>候选人的综合成绩计算方法</w:t>
      </w:r>
    </w:p>
    <w:p w14:paraId="66B98BB1">
      <w:pPr>
        <w:pStyle w:val="3"/>
        <w:spacing w:line="600" w:lineRule="exact"/>
        <w:ind w:firstLine="640" w:firstLineChars="200"/>
        <w:rPr>
          <w:rFonts w:ascii="仿宋" w:hAnsi="仿宋" w:eastAsia="仿宋"/>
          <w:szCs w:val="32"/>
        </w:rPr>
      </w:pPr>
      <w:r>
        <w:rPr>
          <w:rFonts w:hint="eastAsia" w:ascii="仿宋" w:hAnsi="仿宋" w:eastAsia="仿宋"/>
          <w:sz w:val="32"/>
          <w:szCs w:val="32"/>
        </w:rPr>
        <w:t>综合成绩</w:t>
      </w:r>
      <w:r>
        <w:rPr>
          <w:rFonts w:ascii="仿宋" w:hAnsi="仿宋" w:eastAsia="仿宋"/>
          <w:sz w:val="32"/>
          <w:szCs w:val="32"/>
        </w:rPr>
        <w:t>=本科必修课程平均成绩×50%+面试成绩×50%。</w:t>
      </w:r>
    </w:p>
    <w:p w14:paraId="7730F850">
      <w:pPr>
        <w:pStyle w:val="3"/>
        <w:spacing w:line="600" w:lineRule="exact"/>
        <w:ind w:firstLine="640" w:firstLineChars="200"/>
        <w:rPr>
          <w:rFonts w:ascii="仿宋" w:hAnsi="仿宋" w:eastAsia="仿宋"/>
          <w:szCs w:val="32"/>
        </w:rPr>
      </w:pPr>
      <w:r>
        <w:rPr>
          <w:rFonts w:hint="eastAsia" w:ascii="仿宋" w:hAnsi="仿宋" w:eastAsia="仿宋"/>
          <w:sz w:val="32"/>
          <w:szCs w:val="32"/>
        </w:rPr>
        <w:t>本科必修课程平均成绩的计算方法（以初修成绩计）：</w:t>
      </w:r>
    </w:p>
    <w:p w14:paraId="2CB30E4C">
      <w:pPr>
        <w:pStyle w:val="3"/>
        <w:spacing w:line="600" w:lineRule="exact"/>
        <w:ind w:firstLine="640" w:firstLineChars="200"/>
        <w:rPr>
          <w:rFonts w:ascii="仿宋" w:hAnsi="仿宋" w:eastAsia="仿宋"/>
          <w:sz w:val="32"/>
          <w:szCs w:val="32"/>
        </w:rPr>
      </w:pPr>
      <w:r>
        <w:rPr>
          <w:rFonts w:hint="eastAsia" w:ascii="仿宋" w:hAnsi="仿宋" w:eastAsia="仿宋"/>
          <w:sz w:val="32"/>
          <w:szCs w:val="32"/>
        </w:rPr>
        <w:t>本科必修课程平均成绩</w:t>
      </w:r>
      <w:r>
        <w:rPr>
          <w:rFonts w:ascii="仿宋" w:hAnsi="仿宋" w:eastAsia="仿宋"/>
          <w:sz w:val="32"/>
          <w:szCs w:val="32"/>
        </w:rPr>
        <w:t>=∑（每门必修课程成绩</w:t>
      </w:r>
      <w:r>
        <w:rPr>
          <w:rFonts w:hint="eastAsia" w:ascii="仿宋" w:hAnsi="仿宋" w:eastAsia="仿宋"/>
          <w:sz w:val="32"/>
          <w:szCs w:val="32"/>
        </w:rPr>
        <w:object>
          <v:shape id="_x0000_i1025" o:spt="75" type="#_x0000_t75" style="height:10pt;width:9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ascii="仿宋" w:hAnsi="仿宋" w:eastAsia="仿宋"/>
          <w:sz w:val="32"/>
          <w:szCs w:val="32"/>
        </w:rPr>
        <w:t>课程学分）/所修必修课程学分之和。</w:t>
      </w:r>
    </w:p>
    <w:p w14:paraId="6C384F8D">
      <w:pPr>
        <w:pStyle w:val="3"/>
        <w:spacing w:line="600" w:lineRule="exact"/>
        <w:ind w:firstLine="640" w:firstLineChars="200"/>
        <w:rPr>
          <w:rFonts w:ascii="仿宋" w:hAnsi="仿宋" w:eastAsia="仿宋"/>
          <w:szCs w:val="32"/>
        </w:rPr>
      </w:pPr>
      <w:r>
        <w:rPr>
          <w:rFonts w:ascii="仿宋" w:hAnsi="仿宋" w:eastAsia="仿宋"/>
          <w:sz w:val="32"/>
          <w:szCs w:val="32"/>
        </w:rPr>
        <w:t>6.</w:t>
      </w:r>
      <w:r>
        <w:rPr>
          <w:rFonts w:hint="eastAsia" w:ascii="仿宋" w:hAnsi="仿宋" w:eastAsia="仿宋"/>
          <w:sz w:val="32"/>
          <w:szCs w:val="32"/>
        </w:rPr>
        <w:t>面试</w:t>
      </w:r>
    </w:p>
    <w:p w14:paraId="4750BB2D">
      <w:pPr>
        <w:pStyle w:val="3"/>
        <w:spacing w:line="600" w:lineRule="exact"/>
        <w:ind w:firstLine="640" w:firstLineChars="200"/>
        <w:rPr>
          <w:rFonts w:ascii="仿宋" w:hAnsi="仿宋" w:eastAsia="仿宋"/>
          <w:szCs w:val="32"/>
        </w:rPr>
      </w:pPr>
      <w:r>
        <w:rPr>
          <w:rFonts w:hint="eastAsia" w:ascii="仿宋" w:hAnsi="仿宋" w:eastAsia="仿宋"/>
          <w:sz w:val="32"/>
          <w:szCs w:val="32"/>
        </w:rPr>
        <w:t>（一）面试内容及成绩评判</w:t>
      </w:r>
    </w:p>
    <w:p w14:paraId="7F297700">
      <w:pPr>
        <w:pStyle w:val="3"/>
        <w:spacing w:line="600" w:lineRule="exact"/>
        <w:ind w:firstLine="640" w:firstLineChars="200"/>
        <w:rPr>
          <w:rFonts w:ascii="仿宋" w:hAnsi="仿宋" w:eastAsia="仿宋"/>
          <w:szCs w:val="32"/>
        </w:rPr>
      </w:pPr>
      <w:r>
        <w:rPr>
          <w:rFonts w:ascii="仿宋" w:hAnsi="仿宋" w:eastAsia="仿宋"/>
          <w:sz w:val="32"/>
          <w:szCs w:val="32"/>
        </w:rPr>
        <w:t>1）外语口语交流能力（10分）。</w:t>
      </w:r>
    </w:p>
    <w:p w14:paraId="74C72A0A">
      <w:pPr>
        <w:pStyle w:val="3"/>
        <w:spacing w:line="600" w:lineRule="exact"/>
        <w:ind w:firstLine="640" w:firstLineChars="200"/>
        <w:rPr>
          <w:rFonts w:ascii="仿宋" w:hAnsi="仿宋" w:eastAsia="仿宋"/>
          <w:szCs w:val="32"/>
        </w:rPr>
      </w:pPr>
      <w:r>
        <w:rPr>
          <w:rFonts w:ascii="仿宋" w:hAnsi="仿宋" w:eastAsia="仿宋"/>
          <w:sz w:val="32"/>
          <w:szCs w:val="32"/>
        </w:rPr>
        <w:t>2）专业素质及综合能力（90分），可采取由考生对随机抽取的试题内容和面试专家的现场提问进行回答等形式。</w:t>
      </w:r>
    </w:p>
    <w:p w14:paraId="17A4C955">
      <w:pPr>
        <w:pStyle w:val="3"/>
        <w:spacing w:line="600" w:lineRule="exact"/>
        <w:ind w:firstLine="640" w:firstLineChars="200"/>
        <w:rPr>
          <w:rFonts w:ascii="仿宋" w:hAnsi="仿宋" w:eastAsia="仿宋"/>
          <w:szCs w:val="32"/>
        </w:rPr>
      </w:pPr>
      <w:r>
        <w:rPr>
          <w:rFonts w:hint="eastAsia" w:ascii="仿宋" w:hAnsi="仿宋" w:eastAsia="仿宋"/>
          <w:sz w:val="32"/>
          <w:szCs w:val="32"/>
        </w:rPr>
        <w:t>（二）面试要求</w:t>
      </w:r>
    </w:p>
    <w:p w14:paraId="27CC738F">
      <w:pPr>
        <w:pStyle w:val="3"/>
        <w:spacing w:line="600" w:lineRule="exact"/>
        <w:ind w:firstLine="640" w:firstLineChars="200"/>
        <w:rPr>
          <w:rFonts w:ascii="仿宋" w:hAnsi="仿宋" w:eastAsia="仿宋"/>
          <w:szCs w:val="32"/>
        </w:rPr>
      </w:pPr>
      <w:r>
        <w:rPr>
          <w:rFonts w:hint="eastAsia" w:ascii="仿宋" w:hAnsi="仿宋" w:eastAsia="仿宋"/>
          <w:sz w:val="32"/>
          <w:szCs w:val="32"/>
        </w:rPr>
        <w:t>各专业的面试程序必须规范、合理。每位考生面试的总时间不少于</w:t>
      </w:r>
      <w:r>
        <w:rPr>
          <w:rFonts w:ascii="仿宋" w:hAnsi="仿宋" w:eastAsia="仿宋"/>
          <w:sz w:val="32"/>
          <w:szCs w:val="32"/>
        </w:rPr>
        <w:t>15分钟。</w:t>
      </w:r>
    </w:p>
    <w:p w14:paraId="6979F8D5">
      <w:pPr>
        <w:pStyle w:val="3"/>
        <w:spacing w:line="600" w:lineRule="exact"/>
        <w:ind w:firstLine="640" w:firstLineChars="200"/>
        <w:rPr>
          <w:rFonts w:ascii="仿宋" w:hAnsi="仿宋" w:eastAsia="仿宋"/>
          <w:szCs w:val="32"/>
        </w:rPr>
      </w:pPr>
      <w:r>
        <w:rPr>
          <w:rFonts w:ascii="仿宋" w:hAnsi="仿宋" w:eastAsia="仿宋"/>
          <w:sz w:val="32"/>
          <w:szCs w:val="32"/>
        </w:rPr>
        <w:t>7.录取原则</w:t>
      </w:r>
    </w:p>
    <w:p w14:paraId="074BF2F3">
      <w:pPr>
        <w:pStyle w:val="3"/>
        <w:spacing w:line="600" w:lineRule="exact"/>
        <w:ind w:firstLine="640" w:firstLineChars="200"/>
        <w:rPr>
          <w:rFonts w:ascii="仿宋" w:hAnsi="仿宋" w:eastAsia="仿宋"/>
          <w:szCs w:val="32"/>
        </w:rPr>
      </w:pPr>
      <w:r>
        <w:rPr>
          <w:rFonts w:hint="eastAsia" w:ascii="仿宋" w:hAnsi="仿宋" w:eastAsia="仿宋"/>
          <w:sz w:val="32"/>
          <w:szCs w:val="32"/>
        </w:rPr>
        <w:t>“拔尖创新人才计划”的校内录取的原则，依据候选人的综合成绩、身体健康状况等综合确定。面试成绩（百分制）不及格者不予录取。学院根据当年“拔尖创新人才计划”招生名额确定本学院相关专业大类“拔尖创新人才计划”拟录取名单。学院“拔尖创新人才计划”招生名单经学院</w:t>
      </w:r>
      <w:r>
        <w:rPr>
          <w:rFonts w:ascii="仿宋" w:hAnsi="仿宋" w:eastAsia="仿宋"/>
          <w:sz w:val="32"/>
          <w:szCs w:val="32"/>
        </w:rPr>
        <w:t>考核</w:t>
      </w:r>
      <w:r>
        <w:rPr>
          <w:rFonts w:hint="eastAsia" w:ascii="仿宋" w:hAnsi="仿宋" w:eastAsia="仿宋"/>
          <w:sz w:val="32"/>
          <w:szCs w:val="32"/>
        </w:rPr>
        <w:t>领导小</w:t>
      </w:r>
      <w:r>
        <w:rPr>
          <w:rFonts w:ascii="仿宋" w:hAnsi="仿宋" w:eastAsia="仿宋"/>
          <w:sz w:val="32"/>
          <w:szCs w:val="32"/>
        </w:rPr>
        <w:t>组</w:t>
      </w:r>
      <w:r>
        <w:rPr>
          <w:rFonts w:hint="eastAsia" w:ascii="仿宋" w:hAnsi="仿宋" w:eastAsia="仿宋"/>
          <w:sz w:val="32"/>
          <w:szCs w:val="32"/>
        </w:rPr>
        <w:t>审核后，在规定时间内向候选人公布，同时报研究生院、教务处。</w:t>
      </w:r>
    </w:p>
    <w:p w14:paraId="07B41984">
      <w:pPr>
        <w:pStyle w:val="3"/>
        <w:spacing w:line="600" w:lineRule="exact"/>
        <w:ind w:firstLine="640" w:firstLineChars="200"/>
        <w:rPr>
          <w:rFonts w:ascii="仿宋" w:hAnsi="仿宋" w:eastAsia="仿宋"/>
          <w:szCs w:val="32"/>
        </w:rPr>
      </w:pPr>
      <w:r>
        <w:rPr>
          <w:rFonts w:hint="eastAsia" w:ascii="仿宋" w:hAnsi="仿宋" w:eastAsia="仿宋"/>
          <w:sz w:val="32"/>
          <w:szCs w:val="32"/>
        </w:rPr>
        <w:t>研究生院汇总后进行网上公示，公示期一般不少于5个工作日。公示无异议后，提交学校审核。学院与最终入选学生签署《“拔尖创新人才培养计划”协议书》，将入选名单报送研究生院和教务处备案。</w:t>
      </w:r>
    </w:p>
    <w:p w14:paraId="23438A23">
      <w:pPr>
        <w:tabs>
          <w:tab w:val="left" w:pos="1696"/>
        </w:tabs>
        <w:spacing w:line="600" w:lineRule="exact"/>
        <w:ind w:firstLine="640" w:firstLineChars="200"/>
        <w:rPr>
          <w:rFonts w:ascii="仿宋_GB2312" w:hAnsi="宋体"/>
          <w:szCs w:val="32"/>
        </w:rPr>
      </w:pPr>
    </w:p>
    <w:p w14:paraId="7117287E">
      <w:pPr>
        <w:tabs>
          <w:tab w:val="left" w:pos="2368"/>
        </w:tabs>
        <w:spacing w:line="640" w:lineRule="exact"/>
        <w:jc w:val="center"/>
        <w:rPr>
          <w:rFonts w:ascii="黑体" w:hAnsi="黑体" w:eastAsia="黑体"/>
          <w:szCs w:val="32"/>
        </w:rPr>
      </w:pPr>
      <w:r>
        <w:rPr>
          <w:rFonts w:hint="eastAsia" w:ascii="黑体" w:hAnsi="黑体" w:eastAsia="黑体"/>
          <w:szCs w:val="32"/>
        </w:rPr>
        <w:t xml:space="preserve">第三部分 </w:t>
      </w:r>
      <w:r>
        <w:rPr>
          <w:rFonts w:ascii="黑体" w:hAnsi="黑体" w:eastAsia="黑体"/>
          <w:szCs w:val="32"/>
        </w:rPr>
        <w:t xml:space="preserve"> 培养</w:t>
      </w:r>
      <w:r>
        <w:rPr>
          <w:rFonts w:hint="eastAsia" w:ascii="黑体" w:hAnsi="黑体" w:eastAsia="黑体"/>
          <w:szCs w:val="32"/>
        </w:rPr>
        <w:t>过程</w:t>
      </w:r>
    </w:p>
    <w:p w14:paraId="20796A6D">
      <w:pPr>
        <w:tabs>
          <w:tab w:val="left" w:pos="2368"/>
        </w:tabs>
        <w:spacing w:line="640" w:lineRule="exact"/>
        <w:ind w:firstLine="645"/>
        <w:rPr>
          <w:rFonts w:ascii="仿宋" w:hAnsi="仿宋" w:eastAsia="仿宋"/>
          <w:szCs w:val="32"/>
        </w:rPr>
      </w:pPr>
      <w:r>
        <w:rPr>
          <w:rFonts w:hint="eastAsia" w:ascii="楷体" w:hAnsi="楷体" w:eastAsia="楷体"/>
          <w:szCs w:val="32"/>
        </w:rPr>
        <w:t xml:space="preserve">第五条 </w:t>
      </w:r>
      <w:r>
        <w:rPr>
          <w:rFonts w:ascii="楷体" w:hAnsi="楷体" w:eastAsia="楷体"/>
          <w:szCs w:val="32"/>
        </w:rPr>
        <w:t xml:space="preserve"> 专业</w:t>
      </w:r>
      <w:r>
        <w:rPr>
          <w:rFonts w:hint="eastAsia" w:ascii="楷体" w:hAnsi="楷体" w:eastAsia="楷体"/>
          <w:szCs w:val="32"/>
        </w:rPr>
        <w:t>及</w:t>
      </w:r>
      <w:r>
        <w:rPr>
          <w:rFonts w:ascii="楷体" w:hAnsi="楷体" w:eastAsia="楷体"/>
          <w:szCs w:val="32"/>
        </w:rPr>
        <w:t>培养方案</w:t>
      </w:r>
    </w:p>
    <w:p w14:paraId="6CF4ACCA">
      <w:pPr>
        <w:tabs>
          <w:tab w:val="left" w:pos="2368"/>
        </w:tabs>
        <w:spacing w:line="640" w:lineRule="exact"/>
        <w:ind w:firstLine="645"/>
        <w:rPr>
          <w:rFonts w:ascii="仿宋" w:hAnsi="仿宋" w:eastAsia="仿宋"/>
          <w:szCs w:val="32"/>
        </w:rPr>
      </w:pPr>
      <w:r>
        <w:rPr>
          <w:rFonts w:hint="eastAsia" w:ascii="仿宋" w:hAnsi="仿宋" w:eastAsia="仿宋"/>
          <w:szCs w:val="32"/>
        </w:rPr>
        <w:t>学院</w:t>
      </w:r>
      <w:r>
        <w:rPr>
          <w:rFonts w:ascii="仿宋" w:hAnsi="仿宋" w:eastAsia="仿宋"/>
          <w:szCs w:val="32"/>
        </w:rPr>
        <w:t>制订适应</w:t>
      </w:r>
      <w:r>
        <w:rPr>
          <w:rFonts w:hint="eastAsia" w:ascii="仿宋" w:hAnsi="仿宋" w:eastAsia="仿宋"/>
          <w:szCs w:val="32"/>
        </w:rPr>
        <w:t>拔尖创新人才</w:t>
      </w:r>
      <w:r>
        <w:rPr>
          <w:rFonts w:ascii="仿宋" w:hAnsi="仿宋" w:eastAsia="仿宋"/>
          <w:szCs w:val="32"/>
        </w:rPr>
        <w:t>培养要求的贯通</w:t>
      </w:r>
      <w:r>
        <w:rPr>
          <w:rFonts w:hint="eastAsia" w:ascii="仿宋" w:hAnsi="仿宋" w:eastAsia="仿宋"/>
          <w:szCs w:val="32"/>
        </w:rPr>
        <w:t>式</w:t>
      </w:r>
      <w:r>
        <w:rPr>
          <w:rFonts w:ascii="仿宋" w:hAnsi="仿宋" w:eastAsia="仿宋"/>
          <w:szCs w:val="32"/>
        </w:rPr>
        <w:t>培养方案</w:t>
      </w:r>
      <w:r>
        <w:rPr>
          <w:rFonts w:hint="eastAsia" w:ascii="仿宋" w:hAnsi="仿宋" w:eastAsia="仿宋"/>
          <w:szCs w:val="32"/>
        </w:rPr>
        <w:t>，</w:t>
      </w:r>
      <w:r>
        <w:rPr>
          <w:rFonts w:ascii="仿宋" w:hAnsi="仿宋" w:eastAsia="仿宋"/>
          <w:szCs w:val="32"/>
        </w:rPr>
        <w:t>本科阶段培养方案由教务处</w:t>
      </w:r>
      <w:r>
        <w:rPr>
          <w:rFonts w:hint="eastAsia" w:ascii="仿宋" w:hAnsi="仿宋" w:eastAsia="仿宋"/>
          <w:szCs w:val="32"/>
        </w:rPr>
        <w:t>组织审核</w:t>
      </w:r>
      <w:r>
        <w:rPr>
          <w:rFonts w:ascii="仿宋" w:hAnsi="仿宋" w:eastAsia="仿宋"/>
          <w:szCs w:val="32"/>
        </w:rPr>
        <w:t>，研究生阶段培养方案由研究生院组织</w:t>
      </w:r>
      <w:r>
        <w:rPr>
          <w:rFonts w:hint="eastAsia" w:ascii="仿宋" w:hAnsi="仿宋" w:eastAsia="仿宋"/>
          <w:szCs w:val="32"/>
        </w:rPr>
        <w:t>审核</w:t>
      </w:r>
      <w:r>
        <w:rPr>
          <w:rFonts w:ascii="仿宋" w:hAnsi="仿宋" w:eastAsia="仿宋"/>
          <w:szCs w:val="32"/>
        </w:rPr>
        <w:t>。</w:t>
      </w:r>
    </w:p>
    <w:p w14:paraId="0195AF62">
      <w:pPr>
        <w:tabs>
          <w:tab w:val="left" w:pos="2368"/>
        </w:tabs>
        <w:spacing w:line="640" w:lineRule="exact"/>
        <w:ind w:firstLine="645"/>
        <w:rPr>
          <w:rFonts w:eastAsia="仿宋"/>
          <w:szCs w:val="32"/>
        </w:rPr>
      </w:pPr>
      <w:r>
        <w:rPr>
          <w:rFonts w:eastAsia="仿宋"/>
          <w:szCs w:val="32"/>
        </w:rPr>
        <w:t>1. 本科阶段培养方案参照《普通高等学校本科专业类教学质量国家标准》制定，本科毕业环节</w:t>
      </w:r>
      <w:r>
        <w:rPr>
          <w:rFonts w:hint="eastAsia" w:eastAsia="仿宋"/>
          <w:szCs w:val="32"/>
        </w:rPr>
        <w:t>可纳入</w:t>
      </w:r>
      <w:r>
        <w:rPr>
          <w:rFonts w:eastAsia="仿宋"/>
          <w:szCs w:val="32"/>
        </w:rPr>
        <w:t>研究生科研环节进行。</w:t>
      </w:r>
    </w:p>
    <w:p w14:paraId="6675E897">
      <w:pPr>
        <w:tabs>
          <w:tab w:val="left" w:pos="2368"/>
        </w:tabs>
        <w:spacing w:line="640" w:lineRule="exact"/>
        <w:ind w:firstLine="645"/>
        <w:rPr>
          <w:rFonts w:ascii="仿宋" w:hAnsi="仿宋" w:eastAsia="仿宋"/>
          <w:szCs w:val="32"/>
        </w:rPr>
      </w:pPr>
      <w:r>
        <w:rPr>
          <w:rFonts w:eastAsia="仿宋"/>
          <w:szCs w:val="32"/>
        </w:rPr>
        <w:t>2. 学院</w:t>
      </w:r>
      <w:r>
        <w:rPr>
          <w:rFonts w:hint="eastAsia" w:ascii="仿宋" w:hAnsi="仿宋" w:eastAsia="仿宋"/>
          <w:szCs w:val="32"/>
        </w:rPr>
        <w:t>对“拔尖创新人才计划”入选学生实行全校层面大类培养，可在全校范围内选读课程，学生毕业的本科专业为生物工程专业或生物科学专业；研究生阶段的专业为生物工程或生物学。</w:t>
      </w:r>
    </w:p>
    <w:p w14:paraId="5468C637">
      <w:pPr>
        <w:tabs>
          <w:tab w:val="left" w:pos="2368"/>
        </w:tabs>
        <w:spacing w:line="640" w:lineRule="exact"/>
        <w:ind w:firstLine="640" w:firstLineChars="200"/>
        <w:rPr>
          <w:rFonts w:ascii="仿宋" w:hAnsi="仿宋" w:eastAsia="仿宋"/>
          <w:szCs w:val="32"/>
        </w:rPr>
      </w:pPr>
      <w:r>
        <w:rPr>
          <w:rFonts w:eastAsia="仿宋"/>
          <w:szCs w:val="32"/>
        </w:rPr>
        <w:t>3. 本科学习阶段，</w:t>
      </w:r>
      <w:r>
        <w:rPr>
          <w:rFonts w:hint="eastAsia" w:eastAsia="仿宋"/>
          <w:szCs w:val="32"/>
        </w:rPr>
        <w:t>入选</w:t>
      </w:r>
      <w:r>
        <w:rPr>
          <w:rFonts w:eastAsia="仿宋"/>
          <w:szCs w:val="32"/>
        </w:rPr>
        <w:t>学生至少参与一项大学生创新</w:t>
      </w:r>
      <w:r>
        <w:rPr>
          <w:rFonts w:ascii="仿宋" w:hAnsi="仿宋" w:eastAsia="仿宋"/>
          <w:szCs w:val="32"/>
        </w:rPr>
        <w:t>训练计划项目</w:t>
      </w:r>
      <w:r>
        <w:rPr>
          <w:rFonts w:hint="eastAsia" w:ascii="仿宋" w:hAnsi="仿宋" w:eastAsia="仿宋"/>
          <w:szCs w:val="32"/>
        </w:rPr>
        <w:t>。</w:t>
      </w:r>
    </w:p>
    <w:p w14:paraId="52891DB9">
      <w:pPr>
        <w:tabs>
          <w:tab w:val="left" w:pos="2368"/>
        </w:tabs>
        <w:spacing w:line="640" w:lineRule="exact"/>
        <w:ind w:firstLine="640" w:firstLineChars="200"/>
        <w:rPr>
          <w:rFonts w:ascii="仿宋" w:hAnsi="仿宋" w:eastAsia="仿宋"/>
          <w:szCs w:val="32"/>
        </w:rPr>
      </w:pPr>
      <w:r>
        <w:rPr>
          <w:rFonts w:eastAsia="仿宋"/>
          <w:szCs w:val="32"/>
        </w:rPr>
        <w:t>4.</w:t>
      </w:r>
      <w:r>
        <w:rPr>
          <w:rFonts w:hint="eastAsia" w:ascii="仿宋" w:hAnsi="仿宋" w:eastAsia="仿宋"/>
          <w:szCs w:val="32"/>
        </w:rPr>
        <w:t>“拔尖创新人才计划”奖学金名额单列，本科毕业时学校授予“拔尖创新人才计划”荣誉证书。</w:t>
      </w:r>
    </w:p>
    <w:p w14:paraId="714611B4">
      <w:pPr>
        <w:tabs>
          <w:tab w:val="left" w:pos="2368"/>
        </w:tabs>
        <w:spacing w:line="640" w:lineRule="exact"/>
        <w:ind w:firstLine="645"/>
        <w:rPr>
          <w:rFonts w:ascii="楷体" w:hAnsi="楷体" w:eastAsia="楷体"/>
          <w:szCs w:val="32"/>
        </w:rPr>
      </w:pPr>
      <w:r>
        <w:rPr>
          <w:rFonts w:hint="eastAsia" w:ascii="楷体" w:hAnsi="楷体" w:eastAsia="楷体"/>
          <w:szCs w:val="32"/>
        </w:rPr>
        <w:t>第六条 责任</w:t>
      </w:r>
    </w:p>
    <w:p w14:paraId="28221BE1">
      <w:pPr>
        <w:tabs>
          <w:tab w:val="left" w:pos="2368"/>
        </w:tabs>
        <w:spacing w:line="640" w:lineRule="exact"/>
        <w:ind w:firstLine="640" w:firstLineChars="200"/>
        <w:rPr>
          <w:rFonts w:ascii="仿宋_GB2312" w:cs="仿宋_GB2312"/>
          <w:kern w:val="0"/>
          <w:szCs w:val="32"/>
        </w:rPr>
      </w:pPr>
      <w:r>
        <w:rPr>
          <w:rFonts w:hint="eastAsia" w:ascii="仿宋" w:hAnsi="仿宋" w:eastAsia="仿宋"/>
          <w:szCs w:val="32"/>
        </w:rPr>
        <w:t>“拔尖创新人才计划”</w:t>
      </w:r>
      <w:r>
        <w:rPr>
          <w:rFonts w:ascii="仿宋" w:hAnsi="仿宋" w:eastAsia="仿宋"/>
          <w:szCs w:val="32"/>
        </w:rPr>
        <w:t>实行全程导师</w:t>
      </w:r>
      <w:r>
        <w:rPr>
          <w:rFonts w:hint="eastAsia" w:ascii="仿宋" w:hAnsi="仿宋" w:eastAsia="仿宋"/>
          <w:szCs w:val="32"/>
        </w:rPr>
        <w:t>责任</w:t>
      </w:r>
      <w:r>
        <w:rPr>
          <w:rFonts w:ascii="仿宋" w:hAnsi="仿宋" w:eastAsia="仿宋"/>
          <w:szCs w:val="32"/>
        </w:rPr>
        <w:t>制。</w:t>
      </w:r>
      <w:r>
        <w:rPr>
          <w:rFonts w:hint="eastAsia" w:ascii="仿宋" w:hAnsi="仿宋" w:eastAsia="仿宋"/>
          <w:szCs w:val="32"/>
        </w:rPr>
        <w:t>入选</w:t>
      </w:r>
      <w:r>
        <w:rPr>
          <w:rFonts w:ascii="仿宋" w:hAnsi="仿宋" w:eastAsia="仿宋"/>
          <w:szCs w:val="32"/>
        </w:rPr>
        <w:t>导师</w:t>
      </w:r>
      <w:r>
        <w:rPr>
          <w:rFonts w:hint="eastAsia" w:ascii="仿宋" w:hAnsi="仿宋" w:eastAsia="仿宋"/>
          <w:szCs w:val="32"/>
        </w:rPr>
        <w:t>需</w:t>
      </w:r>
      <w:r>
        <w:rPr>
          <w:rFonts w:ascii="仿宋" w:hAnsi="仿宋" w:eastAsia="仿宋"/>
          <w:szCs w:val="32"/>
        </w:rPr>
        <w:t>承担以下主要职责：</w:t>
      </w:r>
      <w:r>
        <w:rPr>
          <w:rFonts w:hint="eastAsia" w:ascii="仿宋" w:hAnsi="仿宋" w:eastAsia="仿宋"/>
          <w:szCs w:val="32"/>
        </w:rPr>
        <w:t>负责制定学生培养方案个性化模块、</w:t>
      </w:r>
      <w:r>
        <w:rPr>
          <w:rFonts w:ascii="仿宋" w:hAnsi="仿宋" w:eastAsia="仿宋"/>
          <w:szCs w:val="32"/>
        </w:rPr>
        <w:t>指导学生</w:t>
      </w:r>
      <w:r>
        <w:rPr>
          <w:rFonts w:hint="eastAsia" w:ascii="仿宋" w:hAnsi="仿宋" w:eastAsia="仿宋"/>
          <w:szCs w:val="32"/>
        </w:rPr>
        <w:t>学习和</w:t>
      </w:r>
      <w:r>
        <w:rPr>
          <w:rFonts w:ascii="仿宋" w:hAnsi="仿宋" w:eastAsia="仿宋"/>
          <w:szCs w:val="32"/>
        </w:rPr>
        <w:t>科研创新</w:t>
      </w:r>
      <w:r>
        <w:rPr>
          <w:rFonts w:hint="eastAsia" w:ascii="仿宋" w:hAnsi="仿宋" w:eastAsia="仿宋"/>
          <w:szCs w:val="32"/>
        </w:rPr>
        <w:t>工作、关心学生身心健康</w:t>
      </w:r>
      <w:r>
        <w:rPr>
          <w:rFonts w:hint="eastAsia" w:ascii="仿宋_GB2312" w:cs="仿宋_GB2312"/>
          <w:kern w:val="0"/>
          <w:szCs w:val="32"/>
        </w:rPr>
        <w:t>。</w:t>
      </w:r>
    </w:p>
    <w:p w14:paraId="3F945962">
      <w:pPr>
        <w:autoSpaceDE w:val="0"/>
        <w:autoSpaceDN w:val="0"/>
        <w:adjustRightInd w:val="0"/>
        <w:ind w:firstLine="640" w:firstLineChars="200"/>
        <w:jc w:val="left"/>
        <w:rPr>
          <w:rFonts w:ascii="仿宋" w:hAnsi="仿宋" w:eastAsia="仿宋"/>
          <w:b/>
          <w:szCs w:val="32"/>
        </w:rPr>
      </w:pPr>
      <w:r>
        <w:rPr>
          <w:rFonts w:hint="eastAsia" w:ascii="仿宋" w:hAnsi="仿宋" w:eastAsia="仿宋"/>
          <w:szCs w:val="32"/>
        </w:rPr>
        <w:t>根据本《细则》第十条、第十一条的规定，所</w:t>
      </w:r>
      <w:r>
        <w:rPr>
          <w:rFonts w:ascii="仿宋" w:hAnsi="仿宋" w:eastAsia="仿宋"/>
          <w:szCs w:val="32"/>
        </w:rPr>
        <w:t>指导的</w:t>
      </w:r>
      <w:r>
        <w:rPr>
          <w:rFonts w:hint="eastAsia" w:ascii="仿宋" w:hAnsi="仿宋" w:eastAsia="仿宋"/>
          <w:szCs w:val="32"/>
        </w:rPr>
        <w:t>“</w:t>
      </w:r>
      <w:r>
        <w:rPr>
          <w:rFonts w:ascii="仿宋" w:hAnsi="仿宋" w:eastAsia="仿宋"/>
          <w:szCs w:val="32"/>
        </w:rPr>
        <w:t>拔尖创新人才</w:t>
      </w:r>
      <w:r>
        <w:rPr>
          <w:rFonts w:hint="eastAsia" w:ascii="仿宋" w:hAnsi="仿宋" w:eastAsia="仿宋"/>
          <w:szCs w:val="32"/>
        </w:rPr>
        <w:t>计划”</w:t>
      </w:r>
      <w:r>
        <w:rPr>
          <w:rFonts w:ascii="仿宋" w:hAnsi="仿宋" w:eastAsia="仿宋"/>
          <w:szCs w:val="32"/>
        </w:rPr>
        <w:t>学生退出</w:t>
      </w:r>
      <w:r>
        <w:rPr>
          <w:rFonts w:hint="eastAsia" w:ascii="仿宋" w:hAnsi="仿宋" w:eastAsia="仿宋"/>
          <w:szCs w:val="32"/>
        </w:rPr>
        <w:t>计划的</w:t>
      </w:r>
      <w:r>
        <w:rPr>
          <w:rFonts w:ascii="仿宋" w:hAnsi="仿宋" w:eastAsia="仿宋"/>
          <w:szCs w:val="32"/>
        </w:rPr>
        <w:t>，</w:t>
      </w:r>
      <w:r>
        <w:rPr>
          <w:rFonts w:hint="eastAsia" w:ascii="仿宋" w:hAnsi="仿宋" w:eastAsia="仿宋"/>
          <w:szCs w:val="32"/>
        </w:rPr>
        <w:t>将暂停招收参与“拔尖创新人才计划”的学生一年</w:t>
      </w:r>
      <w:r>
        <w:rPr>
          <w:rFonts w:ascii="仿宋" w:hAnsi="仿宋" w:eastAsia="仿宋"/>
          <w:szCs w:val="32"/>
        </w:rPr>
        <w:t>。</w:t>
      </w:r>
    </w:p>
    <w:p w14:paraId="3935EBDA">
      <w:pPr>
        <w:tabs>
          <w:tab w:val="left" w:pos="2368"/>
        </w:tabs>
        <w:spacing w:line="640" w:lineRule="exact"/>
        <w:ind w:firstLine="640" w:firstLineChars="200"/>
        <w:rPr>
          <w:rFonts w:ascii="仿宋" w:hAnsi="仿宋" w:eastAsia="仿宋"/>
          <w:b/>
          <w:szCs w:val="32"/>
        </w:rPr>
      </w:pPr>
      <w:r>
        <w:rPr>
          <w:rFonts w:hint="eastAsia" w:ascii="楷体" w:hAnsi="楷体" w:eastAsia="楷体"/>
          <w:szCs w:val="32"/>
        </w:rPr>
        <w:t>第七条 推荐免试(推免</w:t>
      </w:r>
      <w:r>
        <w:rPr>
          <w:rFonts w:ascii="楷体" w:hAnsi="楷体" w:eastAsia="楷体"/>
          <w:szCs w:val="32"/>
        </w:rPr>
        <w:t>)</w:t>
      </w:r>
      <w:r>
        <w:rPr>
          <w:rFonts w:hint="eastAsia" w:ascii="楷体" w:hAnsi="楷体" w:eastAsia="楷体"/>
          <w:szCs w:val="32"/>
        </w:rPr>
        <w:t>研究生</w:t>
      </w:r>
    </w:p>
    <w:p w14:paraId="64A5EF92">
      <w:pPr>
        <w:tabs>
          <w:tab w:val="left" w:pos="2368"/>
        </w:tabs>
        <w:spacing w:line="640" w:lineRule="exact"/>
        <w:ind w:firstLine="640" w:firstLineChars="200"/>
        <w:rPr>
          <w:rFonts w:ascii="仿宋_GB2312" w:cs="仿宋_GB2312"/>
          <w:kern w:val="0"/>
          <w:szCs w:val="32"/>
        </w:rPr>
      </w:pPr>
      <w:r>
        <w:rPr>
          <w:rFonts w:hint="eastAsia" w:ascii="仿宋" w:hAnsi="仿宋" w:eastAsia="仿宋"/>
          <w:szCs w:val="32"/>
        </w:rPr>
        <w:t>“拔尖创新人才计划”推免研究生名额单列，学</w:t>
      </w:r>
      <w:r>
        <w:rPr>
          <w:rFonts w:ascii="仿宋" w:hAnsi="仿宋" w:eastAsia="仿宋"/>
          <w:szCs w:val="32"/>
        </w:rPr>
        <w:t>院在</w:t>
      </w:r>
      <w:r>
        <w:rPr>
          <w:rFonts w:hint="eastAsia" w:ascii="仿宋" w:hAnsi="仿宋" w:eastAsia="仿宋"/>
          <w:szCs w:val="32"/>
        </w:rPr>
        <w:t>本科三</w:t>
      </w:r>
      <w:r>
        <w:rPr>
          <w:rFonts w:eastAsia="仿宋"/>
          <w:szCs w:val="32"/>
        </w:rPr>
        <w:t>年级下学期期末考试结束后（每年7月），依据教务处当年的推荐</w:t>
      </w:r>
      <w:r>
        <w:rPr>
          <w:rFonts w:hint="eastAsia" w:ascii="仿宋" w:hAnsi="仿宋" w:eastAsia="仿宋"/>
          <w:szCs w:val="32"/>
        </w:rPr>
        <w:t>免试</w:t>
      </w:r>
      <w:r>
        <w:rPr>
          <w:rFonts w:ascii="仿宋" w:hAnsi="仿宋" w:eastAsia="仿宋"/>
          <w:szCs w:val="32"/>
        </w:rPr>
        <w:t>研究生基本条件，</w:t>
      </w:r>
      <w:r>
        <w:rPr>
          <w:rFonts w:hint="eastAsia" w:ascii="仿宋" w:hAnsi="仿宋" w:eastAsia="仿宋"/>
          <w:szCs w:val="32"/>
        </w:rPr>
        <w:t>从入选</w:t>
      </w:r>
      <w:r>
        <w:rPr>
          <w:rFonts w:ascii="仿宋" w:hAnsi="仿宋" w:eastAsia="仿宋"/>
          <w:szCs w:val="32"/>
        </w:rPr>
        <w:t>学生</w:t>
      </w:r>
      <w:r>
        <w:rPr>
          <w:rFonts w:hint="eastAsia" w:ascii="仿宋" w:hAnsi="仿宋" w:eastAsia="仿宋"/>
          <w:szCs w:val="32"/>
        </w:rPr>
        <w:t>中认定</w:t>
      </w:r>
      <w:r>
        <w:rPr>
          <w:rFonts w:ascii="仿宋" w:hAnsi="仿宋" w:eastAsia="仿宋"/>
          <w:szCs w:val="32"/>
        </w:rPr>
        <w:t>推免生</w:t>
      </w:r>
      <w:r>
        <w:rPr>
          <w:rFonts w:hint="eastAsia" w:ascii="仿宋" w:hAnsi="仿宋" w:eastAsia="仿宋"/>
          <w:szCs w:val="32"/>
        </w:rPr>
        <w:t>名单</w:t>
      </w:r>
      <w:r>
        <w:rPr>
          <w:rFonts w:ascii="仿宋" w:hAnsi="仿宋" w:eastAsia="仿宋"/>
          <w:szCs w:val="32"/>
        </w:rPr>
        <w:t>。</w:t>
      </w:r>
    </w:p>
    <w:p w14:paraId="4CE4AB06">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“拔尖创新人才计划”学生原则上不能推免到外校攻读研究生。</w:t>
      </w:r>
    </w:p>
    <w:p w14:paraId="7B81F019">
      <w:pPr>
        <w:tabs>
          <w:tab w:val="left" w:pos="2368"/>
        </w:tabs>
        <w:spacing w:line="640" w:lineRule="exact"/>
        <w:ind w:firstLine="640" w:firstLineChars="200"/>
        <w:rPr>
          <w:rFonts w:ascii="仿宋" w:hAnsi="仿宋" w:eastAsia="仿宋"/>
          <w:b/>
          <w:szCs w:val="32"/>
        </w:rPr>
      </w:pPr>
      <w:r>
        <w:rPr>
          <w:rFonts w:hint="eastAsia" w:ascii="楷体" w:hAnsi="楷体" w:eastAsia="楷体"/>
          <w:szCs w:val="32"/>
        </w:rPr>
        <w:t>第八条 身份认定</w:t>
      </w:r>
    </w:p>
    <w:p w14:paraId="42E4F701">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入选</w:t>
      </w:r>
      <w:r>
        <w:rPr>
          <w:rFonts w:ascii="仿宋" w:hAnsi="仿宋" w:eastAsia="仿宋"/>
          <w:szCs w:val="32"/>
        </w:rPr>
        <w:t>学生经推荐免试被正式录取为我校</w:t>
      </w:r>
      <w:r>
        <w:rPr>
          <w:rFonts w:hint="eastAsia" w:ascii="仿宋" w:hAnsi="仿宋" w:eastAsia="仿宋"/>
          <w:szCs w:val="32"/>
        </w:rPr>
        <w:t>研究生</w:t>
      </w:r>
      <w:r>
        <w:rPr>
          <w:rFonts w:ascii="仿宋" w:hAnsi="仿宋" w:eastAsia="仿宋"/>
          <w:szCs w:val="32"/>
        </w:rPr>
        <w:t>后，</w:t>
      </w:r>
      <w:r>
        <w:rPr>
          <w:rFonts w:hint="eastAsia" w:ascii="仿宋" w:hAnsi="仿宋" w:eastAsia="仿宋"/>
          <w:szCs w:val="32"/>
        </w:rPr>
        <w:t>原则上应以硕博连读方式进行学习</w:t>
      </w:r>
      <w:r>
        <w:rPr>
          <w:rFonts w:ascii="仿宋" w:hAnsi="仿宋" w:eastAsia="仿宋"/>
          <w:szCs w:val="32"/>
        </w:rPr>
        <w:t>。研究生</w:t>
      </w:r>
      <w:r>
        <w:rPr>
          <w:rFonts w:hint="eastAsia" w:ascii="仿宋" w:hAnsi="仿宋" w:eastAsia="仿宋"/>
          <w:szCs w:val="32"/>
        </w:rPr>
        <w:t>入校报到</w:t>
      </w:r>
      <w:r>
        <w:rPr>
          <w:rFonts w:ascii="仿宋" w:hAnsi="仿宋" w:eastAsia="仿宋"/>
          <w:szCs w:val="32"/>
        </w:rPr>
        <w:t>后，本科阶段完成的</w:t>
      </w:r>
      <w:r>
        <w:rPr>
          <w:rFonts w:hint="eastAsia" w:ascii="仿宋" w:hAnsi="仿宋" w:eastAsia="仿宋"/>
          <w:szCs w:val="32"/>
        </w:rPr>
        <w:t>研究生部分</w:t>
      </w:r>
      <w:r>
        <w:rPr>
          <w:rFonts w:ascii="仿宋" w:hAnsi="仿宋" w:eastAsia="仿宋"/>
          <w:szCs w:val="32"/>
        </w:rPr>
        <w:t>学习内容全部计入研究生阶段的培养计划。</w:t>
      </w:r>
    </w:p>
    <w:p w14:paraId="64E4A805">
      <w:pPr>
        <w:tabs>
          <w:tab w:val="left" w:pos="2368"/>
        </w:tabs>
        <w:spacing w:line="640" w:lineRule="exact"/>
        <w:ind w:firstLine="640" w:firstLineChars="200"/>
        <w:rPr>
          <w:rFonts w:ascii="仿宋" w:hAnsi="仿宋" w:eastAsia="仿宋"/>
          <w:szCs w:val="32"/>
        </w:rPr>
      </w:pPr>
      <w:r>
        <w:rPr>
          <w:rFonts w:ascii="仿宋" w:hAnsi="仿宋" w:eastAsia="仿宋"/>
          <w:szCs w:val="32"/>
        </w:rPr>
        <w:t>以推荐免试</w:t>
      </w:r>
      <w:r>
        <w:rPr>
          <w:rFonts w:hint="eastAsia" w:ascii="仿宋" w:hAnsi="仿宋" w:eastAsia="仿宋"/>
          <w:szCs w:val="32"/>
        </w:rPr>
        <w:t>方式录取</w:t>
      </w:r>
      <w:r>
        <w:rPr>
          <w:rFonts w:ascii="仿宋" w:hAnsi="仿宋" w:eastAsia="仿宋"/>
          <w:szCs w:val="32"/>
        </w:rPr>
        <w:t>为硕博连读的</w:t>
      </w:r>
      <w:r>
        <w:rPr>
          <w:rFonts w:hint="eastAsia" w:ascii="仿宋" w:hAnsi="仿宋" w:eastAsia="仿宋"/>
          <w:szCs w:val="32"/>
        </w:rPr>
        <w:t>研究生</w:t>
      </w:r>
      <w:r>
        <w:rPr>
          <w:rFonts w:ascii="仿宋" w:hAnsi="仿宋" w:eastAsia="仿宋"/>
          <w:szCs w:val="32"/>
        </w:rPr>
        <w:t>，</w:t>
      </w:r>
      <w:r>
        <w:rPr>
          <w:rFonts w:hint="eastAsia" w:ascii="仿宋" w:hAnsi="仿宋" w:eastAsia="仿宋"/>
          <w:szCs w:val="32"/>
        </w:rPr>
        <w:t>可</w:t>
      </w:r>
      <w:r>
        <w:rPr>
          <w:rFonts w:ascii="仿宋" w:hAnsi="仿宋" w:eastAsia="仿宋"/>
          <w:szCs w:val="32"/>
        </w:rPr>
        <w:t>优先推荐评选</w:t>
      </w:r>
      <w:r>
        <w:rPr>
          <w:rFonts w:hint="eastAsia" w:ascii="仿宋" w:hAnsi="仿宋" w:eastAsia="仿宋"/>
          <w:szCs w:val="32"/>
        </w:rPr>
        <w:t>我校</w:t>
      </w:r>
      <w:r>
        <w:rPr>
          <w:rFonts w:ascii="仿宋" w:hAnsi="仿宋" w:eastAsia="仿宋"/>
          <w:szCs w:val="32"/>
        </w:rPr>
        <w:t>研究生励志奖学金</w:t>
      </w:r>
      <w:r>
        <w:rPr>
          <w:rFonts w:hint="eastAsia" w:ascii="仿宋" w:hAnsi="仿宋" w:eastAsia="仿宋"/>
          <w:szCs w:val="32"/>
        </w:rPr>
        <w:t>一等奖</w:t>
      </w:r>
      <w:r>
        <w:rPr>
          <w:rFonts w:ascii="仿宋" w:hAnsi="仿宋" w:eastAsia="仿宋"/>
          <w:szCs w:val="32"/>
        </w:rPr>
        <w:t>。</w:t>
      </w:r>
    </w:p>
    <w:p w14:paraId="330EACAC">
      <w:pPr>
        <w:tabs>
          <w:tab w:val="left" w:pos="2368"/>
        </w:tabs>
        <w:spacing w:line="640" w:lineRule="exact"/>
        <w:ind w:firstLine="640" w:firstLineChars="200"/>
        <w:rPr>
          <w:rFonts w:ascii="仿宋" w:hAnsi="仿宋" w:eastAsia="仿宋"/>
          <w:szCs w:val="32"/>
        </w:rPr>
      </w:pPr>
      <w:r>
        <w:rPr>
          <w:rFonts w:hint="eastAsia" w:ascii="楷体" w:hAnsi="楷体" w:eastAsia="楷体"/>
          <w:szCs w:val="32"/>
        </w:rPr>
        <w:t>第九条 相关待遇</w:t>
      </w:r>
    </w:p>
    <w:p w14:paraId="20EBAAC3">
      <w:pPr>
        <w:tabs>
          <w:tab w:val="left" w:pos="2368"/>
        </w:tabs>
        <w:spacing w:line="640" w:lineRule="exact"/>
        <w:ind w:firstLine="640" w:firstLineChars="200"/>
        <w:rPr>
          <w:rFonts w:ascii="仿宋" w:hAnsi="仿宋" w:eastAsia="仿宋"/>
          <w:szCs w:val="32"/>
        </w:rPr>
      </w:pPr>
      <w:r>
        <w:rPr>
          <w:rFonts w:ascii="仿宋" w:hAnsi="仿宋" w:eastAsia="仿宋"/>
          <w:szCs w:val="32"/>
        </w:rPr>
        <w:t>在本科阶段导师</w:t>
      </w:r>
      <w:r>
        <w:rPr>
          <w:rFonts w:hint="eastAsia" w:ascii="仿宋" w:hAnsi="仿宋" w:eastAsia="仿宋"/>
          <w:szCs w:val="32"/>
        </w:rPr>
        <w:t>根据实际情况</w:t>
      </w:r>
      <w:r>
        <w:rPr>
          <w:rFonts w:ascii="仿宋" w:hAnsi="仿宋" w:eastAsia="仿宋"/>
          <w:szCs w:val="32"/>
        </w:rPr>
        <w:t>为入选学生提供助研岗位</w:t>
      </w:r>
      <w:r>
        <w:rPr>
          <w:rFonts w:hint="eastAsia" w:ascii="仿宋" w:hAnsi="仿宋" w:eastAsia="仿宋"/>
          <w:szCs w:val="32"/>
        </w:rPr>
        <w:t>，并</w:t>
      </w:r>
      <w:r>
        <w:rPr>
          <w:rFonts w:ascii="仿宋" w:hAnsi="仿宋" w:eastAsia="仿宋"/>
          <w:szCs w:val="32"/>
        </w:rPr>
        <w:t>参</w:t>
      </w:r>
      <w:r>
        <w:rPr>
          <w:rFonts w:hint="eastAsia" w:ascii="仿宋" w:hAnsi="仿宋" w:eastAsia="仿宋"/>
          <w:szCs w:val="32"/>
        </w:rPr>
        <w:t>考</w:t>
      </w:r>
      <w:r>
        <w:rPr>
          <w:rFonts w:ascii="仿宋" w:hAnsi="仿宋" w:eastAsia="仿宋"/>
          <w:szCs w:val="32"/>
        </w:rPr>
        <w:t>研究生</w:t>
      </w:r>
      <w:r>
        <w:rPr>
          <w:rFonts w:hint="eastAsia" w:ascii="仿宋" w:hAnsi="仿宋" w:eastAsia="仿宋"/>
          <w:szCs w:val="32"/>
        </w:rPr>
        <w:t>标准发放津贴。</w:t>
      </w:r>
      <w:r>
        <w:rPr>
          <w:rFonts w:ascii="仿宋" w:hAnsi="仿宋" w:eastAsia="仿宋"/>
          <w:szCs w:val="32"/>
        </w:rPr>
        <w:t>本科三年级</w:t>
      </w:r>
      <w:r>
        <w:rPr>
          <w:rFonts w:hint="eastAsia" w:ascii="仿宋" w:hAnsi="仿宋" w:eastAsia="仿宋"/>
          <w:szCs w:val="32"/>
        </w:rPr>
        <w:t>阶段</w:t>
      </w:r>
      <w:r>
        <w:rPr>
          <w:rFonts w:ascii="仿宋" w:hAnsi="仿宋" w:eastAsia="仿宋"/>
          <w:szCs w:val="32"/>
        </w:rPr>
        <w:t>，</w:t>
      </w:r>
      <w:r>
        <w:rPr>
          <w:rFonts w:hint="eastAsia" w:ascii="仿宋" w:hAnsi="仿宋" w:eastAsia="仿宋"/>
          <w:szCs w:val="32"/>
        </w:rPr>
        <w:t>学校将为</w:t>
      </w:r>
      <w:r>
        <w:rPr>
          <w:rFonts w:ascii="仿宋" w:hAnsi="仿宋" w:eastAsia="仿宋"/>
          <w:szCs w:val="32"/>
        </w:rPr>
        <w:t>入选学生</w:t>
      </w:r>
      <w:r>
        <w:rPr>
          <w:rFonts w:hint="eastAsia" w:ascii="仿宋" w:hAnsi="仿宋" w:eastAsia="仿宋"/>
          <w:szCs w:val="32"/>
        </w:rPr>
        <w:t>往返两校区</w:t>
      </w:r>
      <w:r>
        <w:rPr>
          <w:rFonts w:ascii="仿宋" w:hAnsi="仿宋" w:eastAsia="仿宋"/>
          <w:szCs w:val="32"/>
        </w:rPr>
        <w:t>参</w:t>
      </w:r>
      <w:r>
        <w:rPr>
          <w:rFonts w:hint="eastAsia" w:ascii="仿宋" w:hAnsi="仿宋" w:eastAsia="仿宋"/>
          <w:szCs w:val="32"/>
        </w:rPr>
        <w:t>与</w:t>
      </w:r>
      <w:r>
        <w:rPr>
          <w:rFonts w:ascii="仿宋" w:hAnsi="仿宋" w:eastAsia="仿宋"/>
          <w:szCs w:val="32"/>
        </w:rPr>
        <w:t>科研活动</w:t>
      </w:r>
      <w:r>
        <w:rPr>
          <w:rFonts w:hint="eastAsia" w:ascii="仿宋" w:hAnsi="仿宋" w:eastAsia="仿宋"/>
          <w:szCs w:val="32"/>
        </w:rPr>
        <w:t>的住宿、交通等提供便利。</w:t>
      </w:r>
      <w:r>
        <w:rPr>
          <w:rFonts w:ascii="仿宋" w:hAnsi="仿宋" w:eastAsia="仿宋"/>
          <w:szCs w:val="32"/>
        </w:rPr>
        <w:t>在研究生阶段，</w:t>
      </w:r>
      <w:r>
        <w:rPr>
          <w:rFonts w:hint="eastAsia" w:ascii="仿宋" w:hAnsi="仿宋" w:eastAsia="仿宋"/>
          <w:szCs w:val="32"/>
        </w:rPr>
        <w:t>导师</w:t>
      </w:r>
      <w:r>
        <w:rPr>
          <w:rFonts w:ascii="仿宋" w:hAnsi="仿宋" w:eastAsia="仿宋"/>
          <w:szCs w:val="32"/>
        </w:rPr>
        <w:t>优先资助学生</w:t>
      </w:r>
      <w:r>
        <w:rPr>
          <w:rFonts w:hint="eastAsia" w:ascii="仿宋" w:hAnsi="仿宋" w:eastAsia="仿宋"/>
          <w:szCs w:val="32"/>
        </w:rPr>
        <w:t>参加国际国内</w:t>
      </w:r>
      <w:r>
        <w:rPr>
          <w:rFonts w:ascii="仿宋" w:hAnsi="仿宋" w:eastAsia="仿宋"/>
          <w:szCs w:val="32"/>
        </w:rPr>
        <w:t>高水平</w:t>
      </w:r>
      <w:r>
        <w:rPr>
          <w:rFonts w:hint="eastAsia" w:ascii="仿宋" w:hAnsi="仿宋" w:eastAsia="仿宋"/>
          <w:szCs w:val="32"/>
        </w:rPr>
        <w:t>学术</w:t>
      </w:r>
      <w:r>
        <w:rPr>
          <w:rFonts w:ascii="仿宋" w:hAnsi="仿宋" w:eastAsia="仿宋"/>
          <w:szCs w:val="32"/>
        </w:rPr>
        <w:t>会议和</w:t>
      </w:r>
      <w:r>
        <w:rPr>
          <w:rFonts w:hint="eastAsia" w:ascii="仿宋" w:hAnsi="仿宋" w:eastAsia="仿宋"/>
          <w:szCs w:val="32"/>
        </w:rPr>
        <w:t>访问交流项目。</w:t>
      </w:r>
    </w:p>
    <w:p w14:paraId="70714FB4">
      <w:pPr>
        <w:tabs>
          <w:tab w:val="left" w:pos="2368"/>
        </w:tabs>
        <w:spacing w:line="640" w:lineRule="exact"/>
        <w:ind w:firstLine="640" w:firstLineChars="200"/>
        <w:jc w:val="center"/>
        <w:rPr>
          <w:rFonts w:ascii="黑体" w:hAnsi="黑体" w:eastAsia="黑体"/>
          <w:szCs w:val="32"/>
        </w:rPr>
      </w:pPr>
      <w:r>
        <w:rPr>
          <w:rFonts w:hint="eastAsia" w:ascii="黑体" w:hAnsi="黑体" w:eastAsia="黑体"/>
          <w:szCs w:val="32"/>
        </w:rPr>
        <w:t>第四部分 淘汰</w:t>
      </w:r>
      <w:r>
        <w:rPr>
          <w:rFonts w:ascii="黑体" w:hAnsi="黑体" w:eastAsia="黑体"/>
          <w:szCs w:val="32"/>
        </w:rPr>
        <w:t>分流</w:t>
      </w:r>
    </w:p>
    <w:p w14:paraId="460BB1B0">
      <w:pPr>
        <w:tabs>
          <w:tab w:val="left" w:pos="2368"/>
        </w:tabs>
        <w:spacing w:line="640" w:lineRule="exact"/>
        <w:ind w:firstLine="640" w:firstLineChars="200"/>
        <w:rPr>
          <w:rFonts w:ascii="楷体" w:hAnsi="楷体" w:eastAsia="楷体"/>
          <w:szCs w:val="32"/>
        </w:rPr>
      </w:pPr>
      <w:r>
        <w:rPr>
          <w:rFonts w:hint="eastAsia" w:ascii="楷体" w:hAnsi="楷体" w:eastAsia="楷体"/>
          <w:szCs w:val="32"/>
        </w:rPr>
        <w:t>第十条 自然淘汰</w:t>
      </w:r>
    </w:p>
    <w:p w14:paraId="49AC8C2C">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入选</w:t>
      </w:r>
      <w:r>
        <w:rPr>
          <w:rFonts w:ascii="仿宋" w:hAnsi="仿宋" w:eastAsia="仿宋"/>
          <w:szCs w:val="32"/>
        </w:rPr>
        <w:t>学生实施动态管理。</w:t>
      </w:r>
      <w:r>
        <w:rPr>
          <w:rFonts w:hint="eastAsia" w:ascii="仿宋" w:hAnsi="仿宋" w:eastAsia="仿宋"/>
          <w:szCs w:val="32"/>
        </w:rPr>
        <w:t>凡有以下</w:t>
      </w:r>
      <w:r>
        <w:rPr>
          <w:rFonts w:ascii="仿宋" w:hAnsi="仿宋" w:eastAsia="仿宋"/>
          <w:szCs w:val="32"/>
        </w:rPr>
        <w:t>情况之一者</w:t>
      </w:r>
      <w:r>
        <w:rPr>
          <w:rFonts w:hint="eastAsia" w:ascii="仿宋" w:hAnsi="仿宋" w:eastAsia="仿宋"/>
          <w:szCs w:val="32"/>
        </w:rPr>
        <w:t>视为自然淘汰，</w:t>
      </w:r>
      <w:r>
        <w:rPr>
          <w:rFonts w:ascii="仿宋" w:hAnsi="仿宋" w:eastAsia="仿宋"/>
          <w:szCs w:val="32"/>
        </w:rPr>
        <w:t>退出“</w:t>
      </w:r>
      <w:r>
        <w:rPr>
          <w:rFonts w:hint="eastAsia" w:ascii="仿宋" w:hAnsi="仿宋" w:eastAsia="仿宋"/>
          <w:szCs w:val="32"/>
        </w:rPr>
        <w:t>拔尖创新人才</w:t>
      </w:r>
      <w:r>
        <w:rPr>
          <w:rFonts w:ascii="仿宋" w:hAnsi="仿宋" w:eastAsia="仿宋"/>
          <w:szCs w:val="32"/>
        </w:rPr>
        <w:t>计划”</w:t>
      </w:r>
      <w:r>
        <w:rPr>
          <w:rFonts w:hint="eastAsia" w:ascii="仿宋" w:hAnsi="仿宋" w:eastAsia="仿宋"/>
          <w:szCs w:val="32"/>
        </w:rPr>
        <w:t>，</w:t>
      </w:r>
      <w:r>
        <w:rPr>
          <w:rFonts w:ascii="仿宋" w:hAnsi="仿宋" w:eastAsia="仿宋"/>
          <w:szCs w:val="32"/>
        </w:rPr>
        <w:t>转入</w:t>
      </w:r>
      <w:r>
        <w:rPr>
          <w:rFonts w:hint="eastAsia" w:ascii="仿宋" w:hAnsi="仿宋" w:eastAsia="仿宋"/>
          <w:szCs w:val="32"/>
        </w:rPr>
        <w:t>原专业</w:t>
      </w:r>
      <w:r>
        <w:rPr>
          <w:rFonts w:ascii="仿宋" w:hAnsi="仿宋" w:eastAsia="仿宋"/>
          <w:szCs w:val="32"/>
        </w:rPr>
        <w:t>普通班继续学习</w:t>
      </w:r>
      <w:r>
        <w:rPr>
          <w:rFonts w:hint="eastAsia" w:ascii="仿宋" w:hAnsi="仿宋" w:eastAsia="仿宋"/>
          <w:szCs w:val="32"/>
        </w:rPr>
        <w:t>：</w:t>
      </w:r>
    </w:p>
    <w:p w14:paraId="7B8A48A6">
      <w:pPr>
        <w:tabs>
          <w:tab w:val="left" w:pos="2368"/>
        </w:tabs>
        <w:spacing w:line="640" w:lineRule="exact"/>
        <w:ind w:firstLine="800" w:firstLineChars="250"/>
        <w:rPr>
          <w:rFonts w:eastAsia="仿宋"/>
          <w:szCs w:val="32"/>
        </w:rPr>
      </w:pPr>
      <w:r>
        <w:rPr>
          <w:rFonts w:eastAsia="仿宋"/>
          <w:szCs w:val="32"/>
        </w:rPr>
        <w:t>1. 必修课程在初修时成绩不及格的；</w:t>
      </w:r>
    </w:p>
    <w:p w14:paraId="03121240">
      <w:pPr>
        <w:tabs>
          <w:tab w:val="left" w:pos="2368"/>
        </w:tabs>
        <w:spacing w:line="640" w:lineRule="exact"/>
        <w:ind w:firstLine="800" w:firstLineChars="250"/>
        <w:rPr>
          <w:rFonts w:eastAsia="仿宋"/>
          <w:szCs w:val="32"/>
        </w:rPr>
      </w:pPr>
      <w:r>
        <w:rPr>
          <w:rFonts w:eastAsia="仿宋"/>
          <w:szCs w:val="32"/>
        </w:rPr>
        <w:t>2. 考试作弊或受校纪校规处分的；</w:t>
      </w:r>
    </w:p>
    <w:p w14:paraId="6752E429">
      <w:pPr>
        <w:tabs>
          <w:tab w:val="left" w:pos="2368"/>
        </w:tabs>
        <w:spacing w:line="640" w:lineRule="exact"/>
        <w:ind w:firstLine="800" w:firstLineChars="250"/>
        <w:rPr>
          <w:rFonts w:eastAsia="仿宋"/>
          <w:szCs w:val="32"/>
        </w:rPr>
      </w:pPr>
      <w:r>
        <w:rPr>
          <w:rFonts w:eastAsia="仿宋"/>
          <w:szCs w:val="32"/>
        </w:rPr>
        <w:t>3. 导师根据学生具体表现（课程成绩、科研能力、思想品德、身心健康等）提出，并经学院分学位委员会认定有必要终止的。</w:t>
      </w:r>
    </w:p>
    <w:p w14:paraId="7207DA9A">
      <w:pPr>
        <w:tabs>
          <w:tab w:val="left" w:pos="2368"/>
        </w:tabs>
        <w:spacing w:line="640" w:lineRule="exact"/>
        <w:ind w:firstLine="640" w:firstLineChars="200"/>
        <w:rPr>
          <w:rFonts w:ascii="楷体" w:hAnsi="楷体" w:eastAsia="楷体"/>
          <w:szCs w:val="32"/>
        </w:rPr>
      </w:pPr>
      <w:r>
        <w:rPr>
          <w:rFonts w:hint="eastAsia" w:ascii="楷体" w:hAnsi="楷体" w:eastAsia="楷体"/>
          <w:szCs w:val="32"/>
        </w:rPr>
        <w:t>第十一条 自动</w:t>
      </w:r>
      <w:r>
        <w:rPr>
          <w:rFonts w:ascii="楷体" w:hAnsi="楷体" w:eastAsia="楷体"/>
          <w:szCs w:val="32"/>
        </w:rPr>
        <w:t>退出</w:t>
      </w:r>
    </w:p>
    <w:p w14:paraId="325A3165">
      <w:pPr>
        <w:tabs>
          <w:tab w:val="left" w:pos="2368"/>
        </w:tabs>
        <w:spacing w:line="640" w:lineRule="exact"/>
        <w:ind w:firstLine="640" w:firstLineChars="200"/>
        <w:rPr>
          <w:rFonts w:ascii="仿宋" w:hAnsi="仿宋" w:eastAsia="仿宋"/>
          <w:szCs w:val="32"/>
        </w:rPr>
      </w:pPr>
      <w:r>
        <w:rPr>
          <w:rFonts w:ascii="仿宋" w:hAnsi="仿宋" w:eastAsia="仿宋"/>
          <w:szCs w:val="32"/>
        </w:rPr>
        <w:t>“</w:t>
      </w:r>
      <w:r>
        <w:rPr>
          <w:rFonts w:hint="eastAsia" w:ascii="仿宋" w:hAnsi="仿宋" w:eastAsia="仿宋"/>
          <w:szCs w:val="32"/>
        </w:rPr>
        <w:t>拔尖创新人才计划</w:t>
      </w:r>
      <w:r>
        <w:rPr>
          <w:rFonts w:ascii="仿宋" w:hAnsi="仿宋" w:eastAsia="仿宋"/>
          <w:szCs w:val="32"/>
        </w:rPr>
        <w:t>”</w:t>
      </w:r>
      <w:r>
        <w:rPr>
          <w:rFonts w:hint="eastAsia" w:ascii="仿宋" w:hAnsi="仿宋" w:eastAsia="仿宋"/>
          <w:szCs w:val="32"/>
        </w:rPr>
        <w:t>入选学生在四年级上学期没有选择在我校继续深造，视为自动退出</w:t>
      </w:r>
      <w:r>
        <w:rPr>
          <w:rFonts w:ascii="仿宋" w:hAnsi="仿宋" w:eastAsia="仿宋"/>
          <w:szCs w:val="32"/>
        </w:rPr>
        <w:t>“</w:t>
      </w:r>
      <w:r>
        <w:rPr>
          <w:rFonts w:hint="eastAsia" w:ascii="仿宋" w:hAnsi="仿宋" w:eastAsia="仿宋"/>
          <w:szCs w:val="32"/>
        </w:rPr>
        <w:t>拔尖创新人才计划</w:t>
      </w:r>
      <w:r>
        <w:rPr>
          <w:rFonts w:ascii="仿宋" w:hAnsi="仿宋" w:eastAsia="仿宋"/>
          <w:szCs w:val="32"/>
        </w:rPr>
        <w:t>”</w:t>
      </w:r>
      <w:r>
        <w:rPr>
          <w:rFonts w:hint="eastAsia" w:ascii="仿宋" w:hAnsi="仿宋" w:eastAsia="仿宋"/>
          <w:szCs w:val="32"/>
        </w:rPr>
        <w:t>。</w:t>
      </w:r>
    </w:p>
    <w:p w14:paraId="4925B573">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因淘汰或自动退出的学生，转入相应专业普通班学习，需完成普通班本科专业培养方案要求的课程与学分。</w:t>
      </w:r>
    </w:p>
    <w:p w14:paraId="46AEDABD">
      <w:pPr>
        <w:tabs>
          <w:tab w:val="left" w:pos="2368"/>
        </w:tabs>
        <w:spacing w:line="640" w:lineRule="exact"/>
        <w:jc w:val="center"/>
        <w:rPr>
          <w:rFonts w:ascii="黑体" w:hAnsi="黑体" w:eastAsia="黑体"/>
          <w:szCs w:val="32"/>
        </w:rPr>
      </w:pPr>
      <w:r>
        <w:rPr>
          <w:rFonts w:hint="eastAsia" w:ascii="黑体" w:hAnsi="黑体" w:eastAsia="黑体"/>
          <w:szCs w:val="32"/>
        </w:rPr>
        <w:t>第五</w:t>
      </w:r>
      <w:r>
        <w:rPr>
          <w:rFonts w:ascii="黑体" w:hAnsi="黑体" w:eastAsia="黑体"/>
          <w:szCs w:val="32"/>
        </w:rPr>
        <w:t>部分</w:t>
      </w:r>
      <w:r>
        <w:rPr>
          <w:rFonts w:hint="eastAsia" w:ascii="黑体" w:hAnsi="黑体" w:eastAsia="黑体"/>
          <w:szCs w:val="32"/>
        </w:rPr>
        <w:t>监督</w:t>
      </w:r>
      <w:r>
        <w:rPr>
          <w:rFonts w:ascii="黑体" w:hAnsi="黑体" w:eastAsia="黑体"/>
          <w:szCs w:val="32"/>
        </w:rPr>
        <w:t>管理</w:t>
      </w:r>
    </w:p>
    <w:p w14:paraId="3D0A55F5">
      <w:pPr>
        <w:tabs>
          <w:tab w:val="left" w:pos="2368"/>
        </w:tabs>
        <w:spacing w:line="640" w:lineRule="exact"/>
        <w:ind w:firstLine="640" w:firstLineChars="200"/>
        <w:rPr>
          <w:rFonts w:ascii="楷体" w:hAnsi="楷体" w:eastAsia="楷体"/>
          <w:szCs w:val="32"/>
        </w:rPr>
      </w:pPr>
      <w:r>
        <w:rPr>
          <w:rFonts w:hint="eastAsia" w:ascii="楷体" w:hAnsi="楷体" w:eastAsia="楷体"/>
          <w:szCs w:val="32"/>
        </w:rPr>
        <w:t>第十二条 守则</w:t>
      </w:r>
    </w:p>
    <w:p w14:paraId="509074EA">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入选</w:t>
      </w:r>
      <w:r>
        <w:rPr>
          <w:rFonts w:ascii="仿宋" w:hAnsi="仿宋" w:eastAsia="仿宋"/>
          <w:szCs w:val="32"/>
        </w:rPr>
        <w:t>学生</w:t>
      </w:r>
      <w:r>
        <w:rPr>
          <w:rFonts w:hint="eastAsia" w:ascii="仿宋" w:hAnsi="仿宋" w:eastAsia="仿宋"/>
          <w:szCs w:val="32"/>
        </w:rPr>
        <w:t>必须遵守</w:t>
      </w:r>
      <w:r>
        <w:rPr>
          <w:rFonts w:ascii="仿宋" w:hAnsi="仿宋" w:eastAsia="仿宋"/>
          <w:szCs w:val="32"/>
        </w:rPr>
        <w:t>《</w:t>
      </w:r>
      <w:r>
        <w:rPr>
          <w:rFonts w:hint="eastAsia" w:ascii="仿宋" w:hAnsi="仿宋" w:eastAsia="仿宋"/>
          <w:szCs w:val="32"/>
        </w:rPr>
        <w:t>普通</w:t>
      </w:r>
      <w:r>
        <w:rPr>
          <w:rFonts w:ascii="仿宋" w:hAnsi="仿宋" w:eastAsia="仿宋"/>
          <w:szCs w:val="32"/>
        </w:rPr>
        <w:t>高等学校学生管理规定》</w:t>
      </w:r>
      <w:r>
        <w:rPr>
          <w:rFonts w:hint="eastAsia" w:ascii="仿宋" w:hAnsi="仿宋" w:eastAsia="仿宋"/>
          <w:szCs w:val="32"/>
        </w:rPr>
        <w:t>《华东理工大学全日制本科生学籍管理条例》《华东</w:t>
      </w:r>
      <w:r>
        <w:rPr>
          <w:rFonts w:ascii="仿宋" w:hAnsi="仿宋" w:eastAsia="仿宋"/>
          <w:szCs w:val="32"/>
        </w:rPr>
        <w:t>理工大学研究生学籍管理实施细则</w:t>
      </w:r>
      <w:r>
        <w:rPr>
          <w:rFonts w:hint="eastAsia" w:ascii="仿宋" w:hAnsi="仿宋" w:eastAsia="仿宋"/>
          <w:szCs w:val="32"/>
        </w:rPr>
        <w:t>》</w:t>
      </w:r>
      <w:r>
        <w:rPr>
          <w:rFonts w:ascii="仿宋" w:hAnsi="仿宋" w:eastAsia="仿宋"/>
          <w:szCs w:val="32"/>
        </w:rPr>
        <w:t>《</w:t>
      </w:r>
      <w:r>
        <w:rPr>
          <w:rFonts w:hint="eastAsia" w:ascii="仿宋" w:hAnsi="仿宋" w:eastAsia="仿宋"/>
          <w:szCs w:val="32"/>
        </w:rPr>
        <w:t>华东</w:t>
      </w:r>
      <w:r>
        <w:rPr>
          <w:rFonts w:ascii="仿宋" w:hAnsi="仿宋" w:eastAsia="仿宋"/>
          <w:szCs w:val="32"/>
        </w:rPr>
        <w:t>理工大学硕博连读、提前攻博和直博</w:t>
      </w:r>
      <w:r>
        <w:rPr>
          <w:rFonts w:hint="eastAsia" w:ascii="仿宋" w:hAnsi="仿宋" w:eastAsia="仿宋"/>
          <w:szCs w:val="32"/>
        </w:rPr>
        <w:t>研究生</w:t>
      </w:r>
      <w:r>
        <w:rPr>
          <w:rFonts w:ascii="仿宋" w:hAnsi="仿宋" w:eastAsia="仿宋"/>
          <w:szCs w:val="32"/>
        </w:rPr>
        <w:t>的管理规定》</w:t>
      </w:r>
      <w:r>
        <w:rPr>
          <w:rFonts w:hint="eastAsia" w:ascii="仿宋" w:hAnsi="仿宋" w:eastAsia="仿宋"/>
          <w:szCs w:val="32"/>
        </w:rPr>
        <w:t>等</w:t>
      </w:r>
      <w:r>
        <w:rPr>
          <w:rFonts w:ascii="仿宋" w:hAnsi="仿宋" w:eastAsia="仿宋"/>
          <w:szCs w:val="32"/>
        </w:rPr>
        <w:t>相关</w:t>
      </w:r>
      <w:r>
        <w:rPr>
          <w:rFonts w:hint="eastAsia" w:ascii="仿宋" w:hAnsi="仿宋" w:eastAsia="仿宋"/>
          <w:szCs w:val="32"/>
        </w:rPr>
        <w:t>规定</w:t>
      </w:r>
      <w:r>
        <w:rPr>
          <w:rFonts w:ascii="仿宋" w:hAnsi="仿宋" w:eastAsia="仿宋"/>
          <w:szCs w:val="32"/>
        </w:rPr>
        <w:t>。</w:t>
      </w:r>
    </w:p>
    <w:p w14:paraId="50E217D6">
      <w:pPr>
        <w:tabs>
          <w:tab w:val="left" w:pos="2368"/>
        </w:tabs>
        <w:spacing w:line="640" w:lineRule="exact"/>
        <w:ind w:firstLine="640" w:firstLineChars="200"/>
        <w:rPr>
          <w:rFonts w:ascii="楷体" w:hAnsi="楷体" w:eastAsia="楷体"/>
          <w:szCs w:val="32"/>
        </w:rPr>
      </w:pPr>
      <w:r>
        <w:rPr>
          <w:rFonts w:hint="eastAsia" w:ascii="楷体" w:hAnsi="楷体" w:eastAsia="楷体"/>
          <w:szCs w:val="32"/>
        </w:rPr>
        <w:t>第十三</w:t>
      </w:r>
      <w:r>
        <w:rPr>
          <w:rFonts w:ascii="楷体" w:hAnsi="楷体" w:eastAsia="楷体"/>
          <w:szCs w:val="32"/>
        </w:rPr>
        <w:t>条 监管</w:t>
      </w:r>
    </w:p>
    <w:p w14:paraId="0CB95CFD">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学院</w:t>
      </w:r>
      <w:r>
        <w:rPr>
          <w:rFonts w:ascii="仿宋" w:hAnsi="仿宋" w:eastAsia="仿宋"/>
          <w:szCs w:val="32"/>
        </w:rPr>
        <w:t>、</w:t>
      </w:r>
      <w:r>
        <w:rPr>
          <w:rFonts w:hint="eastAsia" w:ascii="仿宋" w:hAnsi="仿宋" w:eastAsia="仿宋"/>
          <w:szCs w:val="32"/>
        </w:rPr>
        <w:t>教务处和</w:t>
      </w:r>
      <w:r>
        <w:rPr>
          <w:rFonts w:ascii="仿宋" w:hAnsi="仿宋" w:eastAsia="仿宋"/>
          <w:szCs w:val="32"/>
        </w:rPr>
        <w:t>研究生院为</w:t>
      </w:r>
      <w:r>
        <w:rPr>
          <w:rFonts w:hint="eastAsia" w:ascii="仿宋" w:hAnsi="仿宋" w:eastAsia="仿宋"/>
          <w:szCs w:val="32"/>
        </w:rPr>
        <w:t>“拔尖创新人才计划”执行情况</w:t>
      </w:r>
      <w:r>
        <w:rPr>
          <w:rFonts w:ascii="仿宋" w:hAnsi="仿宋" w:eastAsia="仿宋"/>
          <w:szCs w:val="32"/>
        </w:rPr>
        <w:t>监管部门，可根据监管情况，对执行不力或违反有关规定的导师或学生及时</w:t>
      </w:r>
      <w:r>
        <w:rPr>
          <w:rFonts w:hint="eastAsia" w:ascii="仿宋" w:hAnsi="仿宋" w:eastAsia="仿宋"/>
          <w:szCs w:val="32"/>
        </w:rPr>
        <w:t>终</w:t>
      </w:r>
      <w:r>
        <w:rPr>
          <w:rFonts w:ascii="仿宋" w:hAnsi="仿宋" w:eastAsia="仿宋"/>
          <w:szCs w:val="32"/>
        </w:rPr>
        <w:t>止</w:t>
      </w:r>
      <w:r>
        <w:rPr>
          <w:rFonts w:hint="eastAsia" w:ascii="仿宋" w:hAnsi="仿宋" w:eastAsia="仿宋"/>
          <w:szCs w:val="32"/>
        </w:rPr>
        <w:t>并</w:t>
      </w:r>
      <w:r>
        <w:rPr>
          <w:rFonts w:ascii="仿宋" w:hAnsi="仿宋" w:eastAsia="仿宋"/>
          <w:szCs w:val="32"/>
        </w:rPr>
        <w:t>退出</w:t>
      </w:r>
      <w:r>
        <w:rPr>
          <w:rFonts w:hint="eastAsia" w:ascii="仿宋" w:hAnsi="仿宋" w:eastAsia="仿宋"/>
          <w:szCs w:val="32"/>
        </w:rPr>
        <w:t>“拔尖创新人才计划”。</w:t>
      </w:r>
    </w:p>
    <w:p w14:paraId="695A1E78">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第十四条 附则</w:t>
      </w:r>
    </w:p>
    <w:p w14:paraId="46FC7667">
      <w:pPr>
        <w:tabs>
          <w:tab w:val="left" w:pos="2368"/>
        </w:tabs>
        <w:spacing w:line="640" w:lineRule="exact"/>
        <w:ind w:firstLine="640" w:firstLineChars="200"/>
        <w:rPr>
          <w:rFonts w:ascii="仿宋" w:hAnsi="仿宋" w:eastAsia="仿宋"/>
          <w:szCs w:val="32"/>
        </w:rPr>
      </w:pPr>
      <w:r>
        <w:rPr>
          <w:rFonts w:hint="eastAsia" w:ascii="仿宋" w:hAnsi="仿宋" w:eastAsia="仿宋"/>
          <w:szCs w:val="32"/>
        </w:rPr>
        <w:t>本办法自2</w:t>
      </w:r>
      <w:r>
        <w:rPr>
          <w:rFonts w:ascii="仿宋" w:hAnsi="仿宋" w:eastAsia="仿宋"/>
          <w:szCs w:val="32"/>
        </w:rPr>
        <w:t>022</w:t>
      </w:r>
      <w:r>
        <w:rPr>
          <w:rFonts w:hint="eastAsia" w:ascii="仿宋" w:hAnsi="仿宋" w:eastAsia="仿宋"/>
          <w:szCs w:val="32"/>
        </w:rPr>
        <w:t>年“拔尖创新人才培养计划”入选学生开始实行，由学院、研究生院、教务处负责解释。现存入选学生仍按《生物工程学院“拔尖创新人才培养计划”实施细则(</w:t>
      </w:r>
      <w:r>
        <w:rPr>
          <w:rFonts w:ascii="仿宋" w:hAnsi="仿宋" w:eastAsia="仿宋"/>
          <w:szCs w:val="32"/>
        </w:rPr>
        <w:t>2018)</w:t>
      </w:r>
      <w:r>
        <w:rPr>
          <w:rFonts w:hint="eastAsia" w:ascii="仿宋" w:hAnsi="仿宋" w:eastAsia="仿宋"/>
          <w:szCs w:val="32"/>
        </w:rPr>
        <w:t>》培养至本科毕业，该办法同时废止。</w:t>
      </w:r>
    </w:p>
    <w:p w14:paraId="48C2D5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iti SC Light">
    <w:altName w:val="Calibri"/>
    <w:panose1 w:val="00000000000000000000"/>
    <w:charset w:val="50"/>
    <w:family w:val="auto"/>
    <w:pitch w:val="default"/>
    <w:sig w:usb0="00000000" w:usb1="00000000" w:usb2="00000010" w:usb3="00000000" w:csb0="003E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637C0D"/>
    <w:multiLevelType w:val="multilevel"/>
    <w:tmpl w:val="46637C0D"/>
    <w:lvl w:ilvl="0" w:tentative="0">
      <w:start w:val="1"/>
      <w:numFmt w:val="decimal"/>
      <w:lvlText w:val="%1."/>
      <w:lvlJc w:val="left"/>
      <w:pPr>
        <w:ind w:left="1000" w:hanging="360"/>
      </w:pPr>
      <w:rPr>
        <w:rFonts w:hint="default" w:ascii="Times New Roman" w:hAnsi="Times New Roman" w:cs="Times New Roman"/>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5837132"/>
    <w:multiLevelType w:val="multilevel"/>
    <w:tmpl w:val="75837132"/>
    <w:lvl w:ilvl="0" w:tentative="0">
      <w:start w:val="1"/>
      <w:numFmt w:val="japaneseCounting"/>
      <w:lvlText w:val="第%1条"/>
      <w:lvlJc w:val="left"/>
      <w:pPr>
        <w:ind w:left="1923" w:hanging="1283"/>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657"/>
    <w:rsid w:val="00000C75"/>
    <w:rsid w:val="00007335"/>
    <w:rsid w:val="00021DDB"/>
    <w:rsid w:val="00022380"/>
    <w:rsid w:val="00036AF1"/>
    <w:rsid w:val="00043FE1"/>
    <w:rsid w:val="00083990"/>
    <w:rsid w:val="000B541F"/>
    <w:rsid w:val="00133FDE"/>
    <w:rsid w:val="00157ABD"/>
    <w:rsid w:val="001640AA"/>
    <w:rsid w:val="00182202"/>
    <w:rsid w:val="00195167"/>
    <w:rsid w:val="001A6D46"/>
    <w:rsid w:val="002160C2"/>
    <w:rsid w:val="0025210D"/>
    <w:rsid w:val="00282BB6"/>
    <w:rsid w:val="002B7969"/>
    <w:rsid w:val="002C37AF"/>
    <w:rsid w:val="002C417F"/>
    <w:rsid w:val="002F050A"/>
    <w:rsid w:val="0038561F"/>
    <w:rsid w:val="00387B00"/>
    <w:rsid w:val="00394543"/>
    <w:rsid w:val="00395DB4"/>
    <w:rsid w:val="0044246D"/>
    <w:rsid w:val="00452DB3"/>
    <w:rsid w:val="00460F62"/>
    <w:rsid w:val="0046467A"/>
    <w:rsid w:val="00465C30"/>
    <w:rsid w:val="00492A70"/>
    <w:rsid w:val="004C1B99"/>
    <w:rsid w:val="004C2307"/>
    <w:rsid w:val="00574CDE"/>
    <w:rsid w:val="005812F1"/>
    <w:rsid w:val="005A1DD5"/>
    <w:rsid w:val="005C070A"/>
    <w:rsid w:val="005C154A"/>
    <w:rsid w:val="00602ED4"/>
    <w:rsid w:val="00603458"/>
    <w:rsid w:val="0063059D"/>
    <w:rsid w:val="00655104"/>
    <w:rsid w:val="006E03D0"/>
    <w:rsid w:val="0070666D"/>
    <w:rsid w:val="00723657"/>
    <w:rsid w:val="007F612C"/>
    <w:rsid w:val="007F6F59"/>
    <w:rsid w:val="008419BD"/>
    <w:rsid w:val="00856BAA"/>
    <w:rsid w:val="00903C8A"/>
    <w:rsid w:val="00915850"/>
    <w:rsid w:val="00933433"/>
    <w:rsid w:val="00947F12"/>
    <w:rsid w:val="00983E4C"/>
    <w:rsid w:val="00996F17"/>
    <w:rsid w:val="00A02DAE"/>
    <w:rsid w:val="00A40694"/>
    <w:rsid w:val="00A57417"/>
    <w:rsid w:val="00AD1FC4"/>
    <w:rsid w:val="00B8143B"/>
    <w:rsid w:val="00BC5CE1"/>
    <w:rsid w:val="00BD3C9D"/>
    <w:rsid w:val="00BE1C58"/>
    <w:rsid w:val="00C8442C"/>
    <w:rsid w:val="00C9266C"/>
    <w:rsid w:val="00D253B3"/>
    <w:rsid w:val="00D25A36"/>
    <w:rsid w:val="00D4083C"/>
    <w:rsid w:val="00D5303F"/>
    <w:rsid w:val="00DD181D"/>
    <w:rsid w:val="00DE5349"/>
    <w:rsid w:val="00E05446"/>
    <w:rsid w:val="00E45630"/>
    <w:rsid w:val="00E611E0"/>
    <w:rsid w:val="00EC073A"/>
    <w:rsid w:val="00EC58B6"/>
    <w:rsid w:val="00ED2263"/>
    <w:rsid w:val="00EE0EE1"/>
    <w:rsid w:val="00F821F1"/>
    <w:rsid w:val="00F8663D"/>
    <w:rsid w:val="00F87732"/>
    <w:rsid w:val="00FE68B9"/>
    <w:rsid w:val="00FE7C9C"/>
    <w:rsid w:val="00FF221C"/>
    <w:rsid w:val="00FF6B1F"/>
    <w:rsid w:val="348E113A"/>
    <w:rsid w:val="4D683366"/>
    <w:rsid w:val="697872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semiHidden/>
    <w:unhideWhenUsed/>
    <w:uiPriority w:val="99"/>
    <w:pPr>
      <w:jc w:val="left"/>
    </w:pPr>
  </w:style>
  <w:style w:type="paragraph" w:styleId="3">
    <w:name w:val="Body Text Indent"/>
    <w:basedOn w:val="1"/>
    <w:link w:val="12"/>
    <w:uiPriority w:val="0"/>
    <w:pPr>
      <w:spacing w:line="420" w:lineRule="auto"/>
      <w:ind w:firstLine="660" w:firstLineChars="275"/>
    </w:pPr>
    <w:rPr>
      <w:rFonts w:eastAsia="宋体"/>
      <w:sz w:val="24"/>
    </w:rPr>
  </w:style>
  <w:style w:type="paragraph" w:styleId="4">
    <w:name w:val="Balloon Text"/>
    <w:basedOn w:val="1"/>
    <w:link w:val="15"/>
    <w:semiHidden/>
    <w:unhideWhenUsed/>
    <w:uiPriority w:val="99"/>
    <w:rPr>
      <w:rFonts w:ascii="Heiti SC Light" w:eastAsia="Heiti SC Light"/>
      <w:sz w:val="18"/>
      <w:szCs w:val="18"/>
    </w:rPr>
  </w:style>
  <w:style w:type="paragraph" w:styleId="5">
    <w:name w:val="footer"/>
    <w:basedOn w:val="1"/>
    <w:link w:val="14"/>
    <w:unhideWhenUsed/>
    <w:uiPriority w:val="99"/>
    <w:pPr>
      <w:tabs>
        <w:tab w:val="center" w:pos="4153"/>
        <w:tab w:val="right" w:pos="8306"/>
      </w:tabs>
      <w:snapToGrid w:val="0"/>
      <w:jc w:val="left"/>
    </w:pPr>
    <w:rPr>
      <w:sz w:val="18"/>
      <w:szCs w:val="18"/>
    </w:rPr>
  </w:style>
  <w:style w:type="paragraph" w:styleId="6">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7"/>
    <w:semiHidden/>
    <w:unhideWhenUsed/>
    <w:qFormat/>
    <w:uiPriority w:val="99"/>
    <w:rPr>
      <w:b/>
      <w:bCs/>
    </w:rPr>
  </w:style>
  <w:style w:type="character" w:styleId="10">
    <w:name w:val="annotation reference"/>
    <w:basedOn w:val="9"/>
    <w:semiHidden/>
    <w:unhideWhenUsed/>
    <w:uiPriority w:val="99"/>
    <w:rPr>
      <w:sz w:val="21"/>
      <w:szCs w:val="21"/>
    </w:rPr>
  </w:style>
  <w:style w:type="paragraph" w:styleId="11">
    <w:name w:val="List Paragraph"/>
    <w:basedOn w:val="1"/>
    <w:qFormat/>
    <w:uiPriority w:val="34"/>
    <w:pPr>
      <w:ind w:firstLine="420" w:firstLineChars="200"/>
    </w:pPr>
  </w:style>
  <w:style w:type="character" w:customStyle="1" w:styleId="12">
    <w:name w:val="正文文本缩进 字符"/>
    <w:basedOn w:val="9"/>
    <w:link w:val="3"/>
    <w:uiPriority w:val="0"/>
    <w:rPr>
      <w:rFonts w:ascii="Times New Roman" w:hAnsi="Times New Roman" w:eastAsia="宋体" w:cs="Times New Roman"/>
      <w:sz w:val="24"/>
      <w:szCs w:val="20"/>
    </w:rPr>
  </w:style>
  <w:style w:type="character" w:customStyle="1" w:styleId="13">
    <w:name w:val="页眉 字符"/>
    <w:basedOn w:val="9"/>
    <w:link w:val="6"/>
    <w:uiPriority w:val="99"/>
    <w:rPr>
      <w:rFonts w:ascii="Times New Roman" w:hAnsi="Times New Roman" w:eastAsia="仿宋_GB2312" w:cs="Times New Roman"/>
      <w:sz w:val="18"/>
      <w:szCs w:val="18"/>
    </w:rPr>
  </w:style>
  <w:style w:type="character" w:customStyle="1" w:styleId="14">
    <w:name w:val="页脚 字符"/>
    <w:basedOn w:val="9"/>
    <w:link w:val="5"/>
    <w:uiPriority w:val="99"/>
    <w:rPr>
      <w:rFonts w:ascii="Times New Roman" w:hAnsi="Times New Roman" w:eastAsia="仿宋_GB2312" w:cs="Times New Roman"/>
      <w:sz w:val="18"/>
      <w:szCs w:val="18"/>
    </w:rPr>
  </w:style>
  <w:style w:type="character" w:customStyle="1" w:styleId="15">
    <w:name w:val="批注框文本 字符"/>
    <w:basedOn w:val="9"/>
    <w:link w:val="4"/>
    <w:semiHidden/>
    <w:uiPriority w:val="99"/>
    <w:rPr>
      <w:rFonts w:ascii="Heiti SC Light" w:hAnsi="Times New Roman" w:eastAsia="Heiti SC Light" w:cs="Times New Roman"/>
      <w:sz w:val="18"/>
      <w:szCs w:val="18"/>
    </w:rPr>
  </w:style>
  <w:style w:type="character" w:customStyle="1" w:styleId="16">
    <w:name w:val="批注文字 字符"/>
    <w:basedOn w:val="9"/>
    <w:link w:val="2"/>
    <w:semiHidden/>
    <w:qFormat/>
    <w:uiPriority w:val="99"/>
    <w:rPr>
      <w:rFonts w:ascii="Times New Roman" w:hAnsi="Times New Roman" w:eastAsia="仿宋_GB2312" w:cs="Times New Roman"/>
      <w:sz w:val="32"/>
      <w:szCs w:val="20"/>
    </w:rPr>
  </w:style>
  <w:style w:type="character" w:customStyle="1" w:styleId="17">
    <w:name w:val="批注主题 字符"/>
    <w:basedOn w:val="16"/>
    <w:link w:val="7"/>
    <w:semiHidden/>
    <w:qFormat/>
    <w:uiPriority w:val="99"/>
    <w:rPr>
      <w:rFonts w:ascii="Times New Roman" w:hAnsi="Times New Roman" w:eastAsia="仿宋_GB2312" w:cs="Times New Roman"/>
      <w:b/>
      <w:bCs/>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3171</Words>
  <Characters>3214</Characters>
  <Lines>23</Lines>
  <Paragraphs>6</Paragraphs>
  <TotalTime>0</TotalTime>
  <ScaleCrop>false</ScaleCrop>
  <LinksUpToDate>false</LinksUpToDate>
  <CharactersWithSpaces>3245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2022-08-25T01:43:00Z</dcterms:created>
  <dc:creator>ww</dc:creator>
  <cp:lastModifiedBy>魄</cp:lastModifiedBy>
  <cp:lastPrinted>2018-09-19T00:58:00Z</cp:lastPrinted>
  <dcterms:modified xsi:type="dcterms:W3CDTF">2025-11-18T08:53:20Z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7693FF8CF10C44A99A21F2127DF3A20F_13</vt:lpwstr>
  </property>
</Properties>
</file>