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6EDAD5">
      <w:pPr>
        <w:jc w:val="center"/>
        <w:rPr>
          <w:rFonts w:ascii="Times New Roman" w:hAnsi="Times New Roman" w:eastAsia="黑体" w:cs="Times New Roman"/>
          <w:sz w:val="48"/>
          <w:szCs w:val="48"/>
          <w14:shadow w14:blurRad="50800" w14:dist="38100" w14:dir="2700000" w14:sx="100000" w14:sy="100000" w14:kx="0" w14:ky="0" w14:algn="tl">
            <w14:srgbClr w14:val="000000">
              <w14:alpha w14:val="60000"/>
            </w14:srgbClr>
          </w14:shadow>
        </w:rPr>
      </w:pPr>
      <w:r>
        <w:rPr>
          <w:rFonts w:ascii="Times New Roman" w:hAnsi="Times New Roman" w:eastAsia="黑体" w:cs="Times New Roman"/>
          <w:sz w:val="48"/>
          <w:szCs w:val="48"/>
          <w14:shadow w14:blurRad="50800" w14:dist="38100" w14:dir="2700000" w14:sx="100000" w14:sy="100000" w14:kx="0" w14:ky="0" w14:algn="tl">
            <w14:srgbClr w14:val="000000">
              <w14:alpha w14:val="60000"/>
            </w14:srgbClr>
          </w14:shadow>
        </w:rPr>
        <w:t>东华大学化学与化工学院</w:t>
      </w:r>
    </w:p>
    <w:p w14:paraId="2CCE1651">
      <w:pPr>
        <w:spacing w:line="480" w:lineRule="exact"/>
        <w:jc w:val="center"/>
        <w:rPr>
          <w:rFonts w:ascii="Times New Roman" w:hAnsi="Times New Roman" w:eastAsia="黑体" w:cs="Times New Roman"/>
          <w:sz w:val="36"/>
          <w:szCs w:val="36"/>
        </w:rPr>
      </w:pPr>
      <w:bookmarkStart w:id="0" w:name="content"/>
      <w:bookmarkEnd w:id="0"/>
      <w:r>
        <w:rPr>
          <w:rFonts w:ascii="Times New Roman" w:hAnsi="Times New Roman" w:eastAsia="黑体" w:cs="Times New Roman"/>
          <w:sz w:val="36"/>
          <w:szCs w:val="36"/>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91440</wp:posOffset>
                </wp:positionV>
                <wp:extent cx="5328285" cy="0"/>
                <wp:effectExtent l="20320" t="14605" r="13970" b="13970"/>
                <wp:wrapNone/>
                <wp:docPr id="1" name="Line 2"/>
                <wp:cNvGraphicFramePr/>
                <a:graphic xmlns:a="http://schemas.openxmlformats.org/drawingml/2006/main">
                  <a:graphicData uri="http://schemas.microsoft.com/office/word/2010/wordprocessingShape">
                    <wps:wsp>
                      <wps:cNvCnPr>
                        <a:cxnSpLocks noChangeShapeType="1"/>
                      </wps:cNvCnPr>
                      <wps:spPr bwMode="auto">
                        <a:xfrm>
                          <a:off x="0" y="0"/>
                          <a:ext cx="5328285" cy="0"/>
                        </a:xfrm>
                        <a:prstGeom prst="line">
                          <a:avLst/>
                        </a:prstGeom>
                        <a:noFill/>
                        <a:ln w="22225">
                          <a:solidFill>
                            <a:srgbClr val="FF0000"/>
                          </a:solidFill>
                          <a:round/>
                        </a:ln>
                      </wps:spPr>
                      <wps:bodyPr/>
                    </wps:wsp>
                  </a:graphicData>
                </a:graphic>
              </wp:anchor>
            </w:drawing>
          </mc:Choice>
          <mc:Fallback>
            <w:pict>
              <v:line id="Line 2" o:spid="_x0000_s1026" o:spt="20" style="position:absolute;left:0pt;margin-left:-2.75pt;margin-top:7.2pt;height:0pt;width:419.55pt;z-index:251659264;mso-width-relative:page;mso-height-relative:page;" filled="f" stroked="t" coordsize="21600,21600" o:gfxdata="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H50dALXAAAACAEAAA8AAAAAAAAAAQAgAAAAIgAAAGRycy9k&#10;b3ducmV2LnhtbFBLAQIUABQAAAAIAIdO4kAZfyPWygEAAKADAAAOAAAAAAAAAAEAIAAAACYBAABk&#10;cnMvZTJvRG9jLnhtbFBLBQYAAAAABgAGAFkBAABiBQAAAAA=&#10;">
                <v:fill on="f" focussize="0,0"/>
                <v:stroke weight="1.75pt" color="#FF0000" joinstyle="round"/>
                <v:imagedata o:title=""/>
                <o:lock v:ext="edit" aspectratio="f"/>
              </v:line>
            </w:pict>
          </mc:Fallback>
        </mc:AlternateContent>
      </w:r>
    </w:p>
    <w:p w14:paraId="62036835">
      <w:pPr>
        <w:pStyle w:val="21"/>
      </w:pPr>
      <w:r>
        <w:t>2027年推荐优秀应届本科毕业生免试攻读研究生实施细则</w:t>
      </w:r>
    </w:p>
    <w:p w14:paraId="37C1A7C6">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ascii="Times New Roman" w:hAnsi="Times New Roman" w:eastAsia="仿宋" w:cs="Times New Roman"/>
          <w:sz w:val="24"/>
          <w:szCs w:val="24"/>
          <w:shd w:val="clear" w:color="auto" w:fill="FFFFFF"/>
        </w:rPr>
        <w:t>为进一步规范学院推荐优秀应届本科毕业生免试攻读研究生(以下简称推免)的工作机制，激励学生勤奋学习、积极创新、全面发展，确保推免工作公开、公平、公正地开展，根据《</w:t>
      </w:r>
      <w:r>
        <w:rPr>
          <w:rFonts w:hint="eastAsia" w:ascii="Times New Roman" w:hAnsi="Times New Roman" w:eastAsia="仿宋" w:cs="Times New Roman"/>
          <w:sz w:val="24"/>
          <w:szCs w:val="24"/>
          <w:shd w:val="clear" w:color="auto" w:fill="FFFFFF"/>
        </w:rPr>
        <w:t>东华大学</w:t>
      </w:r>
      <w:r>
        <w:rPr>
          <w:rFonts w:ascii="Times New Roman" w:hAnsi="Times New Roman" w:eastAsia="仿宋" w:cs="Times New Roman"/>
          <w:sz w:val="24"/>
          <w:szCs w:val="24"/>
          <w:shd w:val="clear" w:color="auto" w:fill="FFFFFF"/>
        </w:rPr>
        <w:t>2027年推荐优秀应届本科毕业生免试攻读研究生</w:t>
      </w:r>
      <w:r>
        <w:rPr>
          <w:rFonts w:hint="eastAsia" w:ascii="Times New Roman" w:hAnsi="Times New Roman" w:eastAsia="仿宋" w:cs="Times New Roman"/>
          <w:sz w:val="24"/>
          <w:szCs w:val="24"/>
          <w:shd w:val="clear" w:color="auto" w:fill="FFFFFF"/>
        </w:rPr>
        <w:t>实施办法</w:t>
      </w:r>
      <w:r>
        <w:rPr>
          <w:rFonts w:ascii="Times New Roman" w:hAnsi="Times New Roman" w:eastAsia="仿宋" w:cs="Times New Roman"/>
          <w:sz w:val="24"/>
          <w:szCs w:val="24"/>
          <w:shd w:val="clear" w:color="auto" w:fill="FFFFFF"/>
        </w:rPr>
        <w:t>》等文件要求，结合学院实际，经研究制定本实施细则。</w:t>
      </w:r>
    </w:p>
    <w:p w14:paraId="1B4E2DB3">
      <w:pPr>
        <w:spacing w:before="78" w:line="360" w:lineRule="auto"/>
        <w:ind w:left="25"/>
        <w:outlineLvl w:val="1"/>
        <w:rPr>
          <w:rFonts w:ascii="Times New Roman" w:hAnsi="Times New Roman" w:eastAsia="仿宋" w:cs="Times New Roman"/>
          <w:b/>
          <w:bCs/>
          <w:spacing w:val="-3"/>
          <w:sz w:val="24"/>
          <w:szCs w:val="24"/>
        </w:rPr>
      </w:pPr>
      <w:r>
        <w:rPr>
          <w:rFonts w:ascii="Times New Roman" w:hAnsi="Times New Roman" w:eastAsia="仿宋" w:cs="Times New Roman"/>
          <w:b/>
          <w:bCs/>
          <w:spacing w:val="-3"/>
          <w:sz w:val="24"/>
          <w:szCs w:val="24"/>
        </w:rPr>
        <w:t>一、学院推免生推荐工作领导小组</w:t>
      </w:r>
    </w:p>
    <w:p w14:paraId="213BEC8B">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ascii="Times New Roman" w:hAnsi="Times New Roman" w:eastAsia="仿宋" w:cs="Times New Roman"/>
          <w:sz w:val="24"/>
          <w:szCs w:val="24"/>
          <w:shd w:val="clear" w:color="auto" w:fill="FFFFFF"/>
        </w:rPr>
        <w:t>学院成立推免生推荐工作领导小组，由学院领导担任组长，成员由分管本科教学及分管研究生教学工作的副院长、分管学生工作的副书记、专业负责人、教学委员会成员及硕士生导师代表等组成。推免生推荐工作领导小组统一组织和领导学院推免工作，主要职责包括：制定推荐工作实施细则；确定并公示本学院推免生名单；对相关学生申诉和投诉进行调查、核实、处理等。</w:t>
      </w:r>
    </w:p>
    <w:p w14:paraId="12EE5309">
      <w:pPr>
        <w:pStyle w:val="3"/>
        <w:spacing w:line="360" w:lineRule="auto"/>
        <w:ind w:left="22" w:firstLine="480" w:firstLineChars="200"/>
        <w:rPr>
          <w:rFonts w:ascii="Times New Roman" w:hAnsi="Times New Roman" w:eastAsia="仿宋" w:cs="Times New Roman"/>
          <w:color w:val="auto"/>
          <w:sz w:val="24"/>
          <w:szCs w:val="24"/>
          <w:shd w:val="clear" w:color="auto" w:fill="FFFFFF"/>
          <w:lang w:eastAsia="zh-CN"/>
        </w:rPr>
      </w:pPr>
      <w:r>
        <w:rPr>
          <w:rFonts w:ascii="Times New Roman" w:hAnsi="Times New Roman" w:eastAsia="仿宋" w:cs="Times New Roman"/>
          <w:color w:val="auto"/>
          <w:sz w:val="24"/>
          <w:szCs w:val="24"/>
          <w:shd w:val="clear" w:color="auto" w:fill="FFFFFF"/>
          <w:lang w:eastAsia="zh-CN"/>
        </w:rPr>
        <w:t>推免生推荐工作领导小组成员如下：</w:t>
      </w:r>
    </w:p>
    <w:p w14:paraId="5BF43F22">
      <w:pPr>
        <w:pStyle w:val="3"/>
        <w:spacing w:line="360" w:lineRule="auto"/>
        <w:ind w:left="22" w:firstLine="476" w:firstLineChars="200"/>
        <w:rPr>
          <w:rFonts w:ascii="Times New Roman" w:hAnsi="Times New Roman" w:eastAsia="仿宋" w:cs="Times New Roman"/>
          <w:color w:val="auto"/>
          <w:spacing w:val="-1"/>
          <w:sz w:val="24"/>
          <w:szCs w:val="24"/>
          <w:lang w:eastAsia="zh-CN"/>
        </w:rPr>
      </w:pPr>
      <w:r>
        <w:rPr>
          <w:rFonts w:ascii="Times New Roman" w:hAnsi="Times New Roman" w:eastAsia="仿宋" w:cs="Times New Roman"/>
          <w:color w:val="auto"/>
          <w:spacing w:val="-1"/>
          <w:sz w:val="24"/>
          <w:szCs w:val="24"/>
          <w:lang w:eastAsia="zh-CN"/>
        </w:rPr>
        <w:t>组长：</w:t>
      </w:r>
      <w:r>
        <w:rPr>
          <w:rFonts w:ascii="Times New Roman" w:hAnsi="Times New Roman" w:eastAsia="仿宋" w:cs="Times New Roman"/>
          <w:color w:val="auto"/>
          <w:sz w:val="24"/>
          <w:szCs w:val="24"/>
          <w:shd w:val="clear" w:color="auto" w:fill="FFFFFF"/>
          <w:lang w:eastAsia="zh-CN"/>
        </w:rPr>
        <w:t>武培怡、严军</w:t>
      </w:r>
    </w:p>
    <w:p w14:paraId="4426E467">
      <w:pPr>
        <w:pStyle w:val="3"/>
        <w:spacing w:line="360" w:lineRule="auto"/>
        <w:ind w:left="22" w:firstLine="476"/>
        <w:rPr>
          <w:rFonts w:ascii="Times New Roman" w:hAnsi="Times New Roman" w:eastAsia="仿宋" w:cs="Times New Roman"/>
          <w:color w:val="auto"/>
          <w:sz w:val="24"/>
          <w:szCs w:val="24"/>
          <w:shd w:val="clear" w:color="auto" w:fill="FFFFFF"/>
          <w:lang w:eastAsia="zh-CN"/>
        </w:rPr>
      </w:pPr>
      <w:r>
        <w:rPr>
          <w:rFonts w:ascii="Times New Roman" w:hAnsi="Times New Roman" w:eastAsia="仿宋" w:cs="Times New Roman"/>
          <w:color w:val="auto"/>
          <w:spacing w:val="-1"/>
          <w:sz w:val="24"/>
          <w:szCs w:val="24"/>
          <w:lang w:eastAsia="zh-CN"/>
        </w:rPr>
        <w:t>成员：</w:t>
      </w:r>
      <w:r>
        <w:rPr>
          <w:rFonts w:hint="eastAsia" w:ascii="Times New Roman" w:hAnsi="Times New Roman" w:eastAsia="仿宋" w:cs="Times New Roman"/>
          <w:color w:val="auto"/>
          <w:spacing w:val="-1"/>
          <w:sz w:val="24"/>
          <w:szCs w:val="24"/>
          <w:lang w:eastAsia="zh-CN"/>
        </w:rPr>
        <w:t>赵涛、刘为萍</w:t>
      </w:r>
      <w:r>
        <w:rPr>
          <w:rFonts w:ascii="Times New Roman" w:hAnsi="Times New Roman" w:eastAsia="仿宋" w:cs="Times New Roman"/>
          <w:color w:val="auto"/>
          <w:spacing w:val="-1"/>
          <w:sz w:val="24"/>
          <w:szCs w:val="24"/>
          <w:lang w:eastAsia="zh-CN"/>
        </w:rPr>
        <w:t>、</w:t>
      </w:r>
      <w:r>
        <w:rPr>
          <w:rFonts w:hint="eastAsia" w:ascii="Times New Roman" w:hAnsi="Times New Roman" w:eastAsia="仿宋" w:cs="Times New Roman"/>
          <w:color w:val="auto"/>
          <w:spacing w:val="-1"/>
          <w:sz w:val="24"/>
          <w:szCs w:val="24"/>
          <w:lang w:eastAsia="zh-CN"/>
        </w:rPr>
        <w:t>董霞</w:t>
      </w:r>
      <w:r>
        <w:rPr>
          <w:rFonts w:ascii="Times New Roman" w:hAnsi="Times New Roman" w:eastAsia="仿宋" w:cs="Times New Roman"/>
          <w:color w:val="auto"/>
          <w:spacing w:val="-1"/>
          <w:sz w:val="24"/>
          <w:szCs w:val="24"/>
          <w:lang w:eastAsia="zh-CN"/>
        </w:rPr>
        <w:t>、刘云芸</w:t>
      </w:r>
      <w:r>
        <w:rPr>
          <w:rFonts w:ascii="Times New Roman" w:hAnsi="Times New Roman" w:eastAsia="仿宋" w:cs="Times New Roman"/>
          <w:color w:val="auto"/>
          <w:sz w:val="24"/>
          <w:szCs w:val="24"/>
          <w:shd w:val="clear" w:color="auto" w:fill="FFFFFF"/>
          <w:lang w:eastAsia="zh-CN"/>
        </w:rPr>
        <w:t>、</w:t>
      </w:r>
      <w:r>
        <w:rPr>
          <w:rFonts w:hint="eastAsia" w:ascii="Times New Roman" w:hAnsi="Times New Roman" w:eastAsia="仿宋" w:cs="Times New Roman"/>
          <w:color w:val="auto"/>
          <w:sz w:val="24"/>
          <w:szCs w:val="24"/>
          <w:shd w:val="clear" w:color="auto" w:fill="FFFFFF"/>
          <w:lang w:eastAsia="zh-CN"/>
        </w:rPr>
        <w:t>陈前进</w:t>
      </w:r>
      <w:r>
        <w:rPr>
          <w:rFonts w:ascii="Times New Roman" w:hAnsi="Times New Roman" w:eastAsia="仿宋" w:cs="Times New Roman"/>
          <w:color w:val="auto"/>
          <w:sz w:val="24"/>
          <w:szCs w:val="24"/>
          <w:shd w:val="clear" w:color="auto" w:fill="FFFFFF"/>
          <w:lang w:eastAsia="zh-CN"/>
        </w:rPr>
        <w:t>、</w:t>
      </w:r>
      <w:r>
        <w:rPr>
          <w:rFonts w:hint="eastAsia" w:ascii="Times New Roman" w:hAnsi="Times New Roman" w:eastAsia="仿宋" w:cs="Times New Roman"/>
          <w:color w:val="auto"/>
          <w:sz w:val="24"/>
          <w:szCs w:val="24"/>
          <w:shd w:val="clear" w:color="auto" w:fill="FFFFFF"/>
          <w:lang w:eastAsia="zh-CN"/>
        </w:rPr>
        <w:t>魏鹏</w:t>
      </w:r>
    </w:p>
    <w:p w14:paraId="23151039">
      <w:pPr>
        <w:spacing w:before="78" w:line="360" w:lineRule="auto"/>
        <w:ind w:left="25"/>
        <w:outlineLvl w:val="1"/>
        <w:rPr>
          <w:rFonts w:ascii="Times New Roman" w:hAnsi="Times New Roman" w:eastAsia="仿宋" w:cs="Times New Roman"/>
          <w:sz w:val="24"/>
          <w:szCs w:val="24"/>
        </w:rPr>
      </w:pPr>
      <w:r>
        <w:rPr>
          <w:rFonts w:ascii="Times New Roman" w:hAnsi="Times New Roman" w:eastAsia="仿宋" w:cs="Times New Roman"/>
          <w:b/>
          <w:bCs/>
          <w:spacing w:val="-3"/>
          <w:sz w:val="24"/>
          <w:szCs w:val="24"/>
        </w:rPr>
        <w:t>二、学院推免生材料审核专家小组</w:t>
      </w:r>
    </w:p>
    <w:p w14:paraId="2EFF7BB1">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ascii="Times New Roman" w:hAnsi="Times New Roman" w:eastAsia="仿宋" w:cs="Times New Roman"/>
          <w:sz w:val="24"/>
          <w:szCs w:val="24"/>
          <w:shd w:val="clear" w:color="auto" w:fill="FFFFFF"/>
        </w:rPr>
        <w:t>学院成立材料审核专家小组，</w:t>
      </w:r>
      <w:r>
        <w:rPr>
          <w:rFonts w:hint="eastAsia" w:ascii="Times New Roman" w:hAnsi="Times New Roman" w:eastAsia="仿宋" w:cs="Times New Roman"/>
          <w:sz w:val="24"/>
          <w:szCs w:val="24"/>
          <w:shd w:val="clear" w:color="auto" w:fill="FFFFFF"/>
        </w:rPr>
        <w:t>加强对推免生特殊学术专长的审核，对申请推免资格学生提交的高水平科研创新成果、科研论文、竞赛奖项的真实性、原创性进行审核鉴定，并组织学生在一定范围内进行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材料审核专家小组及每位成员都要根据学生提交的材料、公开答辩等情况给出明确审核认定意见并签字存档。答辩全程录音录像，相关记录、审核意见由所在学院集中保管，任何人不得改动。</w:t>
      </w:r>
    </w:p>
    <w:p w14:paraId="226446B9">
      <w:pPr>
        <w:spacing w:line="360" w:lineRule="auto"/>
        <w:ind w:firstLine="566" w:firstLineChars="238"/>
        <w:outlineLvl w:val="1"/>
        <w:rPr>
          <w:rFonts w:ascii="Times New Roman" w:hAnsi="Times New Roman" w:eastAsia="仿宋" w:cs="Times New Roman"/>
          <w:spacing w:val="-1"/>
          <w:sz w:val="24"/>
          <w:szCs w:val="24"/>
        </w:rPr>
      </w:pPr>
      <w:r>
        <w:rPr>
          <w:rFonts w:ascii="Times New Roman" w:hAnsi="Times New Roman" w:eastAsia="仿宋" w:cs="Times New Roman"/>
          <w:spacing w:val="-1"/>
          <w:sz w:val="24"/>
          <w:szCs w:val="24"/>
        </w:rPr>
        <w:t>组长：</w:t>
      </w:r>
      <w:r>
        <w:rPr>
          <w:rFonts w:hint="eastAsia" w:ascii="Times New Roman" w:hAnsi="Times New Roman" w:eastAsia="仿宋" w:cs="Times New Roman"/>
          <w:spacing w:val="-1"/>
          <w:sz w:val="24"/>
          <w:szCs w:val="24"/>
        </w:rPr>
        <w:t>刘为萍</w:t>
      </w:r>
    </w:p>
    <w:p w14:paraId="7BF9DAAE">
      <w:pPr>
        <w:spacing w:line="360" w:lineRule="auto"/>
        <w:ind w:firstLine="571" w:firstLineChars="238"/>
        <w:outlineLvl w:val="1"/>
        <w:rPr>
          <w:rFonts w:ascii="Times New Roman" w:hAnsi="Times New Roman" w:eastAsia="仿宋" w:cs="Times New Roman"/>
          <w:sz w:val="24"/>
          <w:szCs w:val="24"/>
        </w:rPr>
      </w:pPr>
      <w:r>
        <w:rPr>
          <w:rFonts w:ascii="Times New Roman" w:hAnsi="Times New Roman" w:eastAsia="仿宋" w:cs="Times New Roman"/>
          <w:sz w:val="24"/>
          <w:szCs w:val="24"/>
        </w:rPr>
        <w:t>成员：</w:t>
      </w:r>
      <w:r>
        <w:rPr>
          <w:rFonts w:hint="eastAsia" w:ascii="Times New Roman" w:hAnsi="Times New Roman" w:eastAsia="仿宋" w:cs="Times New Roman"/>
          <w:sz w:val="24"/>
          <w:szCs w:val="24"/>
        </w:rPr>
        <w:t>魏鹏、</w:t>
      </w:r>
      <w:r>
        <w:rPr>
          <w:rFonts w:ascii="Times New Roman" w:hAnsi="Times New Roman" w:eastAsia="仿宋" w:cs="Times New Roman"/>
          <w:sz w:val="24"/>
          <w:szCs w:val="24"/>
        </w:rPr>
        <w:t>王碧佳、</w:t>
      </w:r>
      <w:r>
        <w:rPr>
          <w:rFonts w:hint="eastAsia" w:ascii="Times New Roman" w:hAnsi="Times New Roman" w:eastAsia="仿宋" w:cs="Times New Roman"/>
          <w:sz w:val="24"/>
          <w:szCs w:val="24"/>
        </w:rPr>
        <w:t>纪柏林</w:t>
      </w:r>
      <w:r>
        <w:rPr>
          <w:rFonts w:ascii="Times New Roman" w:hAnsi="Times New Roman" w:eastAsia="仿宋" w:cs="Times New Roman"/>
          <w:sz w:val="24"/>
          <w:szCs w:val="24"/>
        </w:rPr>
        <w:t>、</w:t>
      </w:r>
      <w:r>
        <w:rPr>
          <w:rFonts w:hint="eastAsia" w:ascii="Times New Roman" w:hAnsi="Times New Roman" w:eastAsia="仿宋" w:cs="Times New Roman"/>
          <w:sz w:val="24"/>
          <w:szCs w:val="24"/>
        </w:rPr>
        <w:t>侯磊</w:t>
      </w:r>
      <w:r>
        <w:rPr>
          <w:rFonts w:ascii="Times New Roman" w:hAnsi="Times New Roman" w:eastAsia="仿宋" w:cs="Times New Roman"/>
          <w:sz w:val="24"/>
          <w:szCs w:val="24"/>
        </w:rPr>
        <w:t>、</w:t>
      </w:r>
      <w:r>
        <w:rPr>
          <w:rFonts w:hint="eastAsia" w:ascii="Times New Roman" w:hAnsi="Times New Roman" w:eastAsia="仿宋" w:cs="Times New Roman"/>
          <w:sz w:val="24"/>
          <w:szCs w:val="24"/>
        </w:rPr>
        <w:t>宣为民</w:t>
      </w:r>
      <w:r>
        <w:rPr>
          <w:rFonts w:ascii="Times New Roman" w:hAnsi="Times New Roman" w:eastAsia="仿宋" w:cs="Times New Roman"/>
          <w:sz w:val="24"/>
          <w:szCs w:val="24"/>
        </w:rPr>
        <w:t>、马时雨</w:t>
      </w:r>
    </w:p>
    <w:p w14:paraId="3B473D3F">
      <w:pPr>
        <w:spacing w:before="78" w:line="360" w:lineRule="auto"/>
        <w:ind w:left="25"/>
        <w:outlineLvl w:val="1"/>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三、推免生基本条件</w:t>
      </w:r>
    </w:p>
    <w:p w14:paraId="6172CE5F">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hint="eastAsia" w:ascii="Times New Roman" w:hAnsi="Times New Roman" w:eastAsia="仿宋" w:cs="Times New Roman"/>
          <w:sz w:val="24"/>
          <w:szCs w:val="24"/>
          <w:shd w:val="clear" w:color="auto" w:fill="FFFFFF"/>
        </w:rPr>
        <w:t>（一）应届本科毕业生，系本校通过普通高考（含保送方式）招生录取或面向港澳台华侨学生招生录取的全日制本科生，不含第二学士学位学生。预计能正常毕业并获得学士学位证书。</w:t>
      </w:r>
    </w:p>
    <w:p w14:paraId="0C64042E">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hint="eastAsia" w:ascii="Times New Roman" w:hAnsi="Times New Roman" w:eastAsia="仿宋" w:cs="Times New Roman"/>
          <w:sz w:val="24"/>
          <w:szCs w:val="24"/>
          <w:shd w:val="clear" w:color="auto" w:fill="FFFFFF"/>
        </w:rPr>
        <w:t>（二）遵守中华人民共和国宪法和法律、诚实守信，不存在考试作弊和学术不端行为。</w:t>
      </w:r>
    </w:p>
    <w:p w14:paraId="7401213D">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hint="eastAsia" w:ascii="Times New Roman" w:hAnsi="Times New Roman" w:eastAsia="仿宋" w:cs="Times New Roman"/>
          <w:sz w:val="24"/>
          <w:szCs w:val="24"/>
          <w:shd w:val="clear" w:color="auto" w:fill="FFFFFF"/>
        </w:rPr>
        <w:t>（三）原则上需完成《本科培养方案》执行专业教学计划中前三学年的课程。</w:t>
      </w:r>
    </w:p>
    <w:p w14:paraId="6A651AC4">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hint="eastAsia" w:ascii="Times New Roman" w:hAnsi="Times New Roman" w:eastAsia="仿宋" w:cs="Times New Roman"/>
          <w:sz w:val="24"/>
          <w:szCs w:val="24"/>
          <w:shd w:val="clear" w:color="auto" w:fill="FFFFFF"/>
        </w:rPr>
        <w:t>（四）成绩优秀，系统掌握本学科专业领域的基础理论、专业知识和基本技能；具有从事科学研究、专业实践的能力和基础，以及较强的创新意识和潜质。原则上学业成绩处于下游的不予推荐。</w:t>
      </w:r>
    </w:p>
    <w:p w14:paraId="50391459">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hint="eastAsia" w:ascii="Times New Roman" w:hAnsi="Times New Roman" w:eastAsia="仿宋" w:cs="Times New Roman"/>
          <w:sz w:val="24"/>
          <w:szCs w:val="24"/>
          <w:shd w:val="clear" w:color="auto" w:fill="FFFFFF"/>
        </w:rPr>
        <w:t>（五）原则上英语成绩达标（全国大学英语四级考试</w:t>
      </w:r>
      <w:r>
        <w:rPr>
          <w:rFonts w:ascii="Times New Roman" w:hAnsi="Times New Roman" w:eastAsia="仿宋" w:cs="Times New Roman"/>
          <w:sz w:val="24"/>
          <w:szCs w:val="24"/>
          <w:shd w:val="clear" w:color="auto" w:fill="FFFFFF"/>
        </w:rPr>
        <w:t xml:space="preserve"> 425 分及以上，或《英语 3》/《英语 3（新目标）》70 分及以上，或托福75 分及以上，或雅思5.5 分及以上）等相当水平。</w:t>
      </w:r>
    </w:p>
    <w:p w14:paraId="272E2C74">
      <w:pPr>
        <w:pStyle w:val="21"/>
        <w:jc w:val="both"/>
        <w:rPr>
          <w:rFonts w:ascii="Times New Roman" w:eastAsia="仿宋" w:cs="Times New Roman"/>
          <w:b w:val="0"/>
          <w:bCs w:val="0"/>
          <w:snapToGrid w:val="0"/>
          <w:color w:val="auto"/>
          <w:spacing w:val="-4"/>
          <w:lang w:eastAsia="en-US"/>
        </w:rPr>
      </w:pPr>
      <w:r>
        <w:rPr>
          <w:rFonts w:ascii="Times New Roman" w:eastAsia="仿宋" w:cs="Times New Roman"/>
          <w:snapToGrid w:val="0"/>
          <w:color w:val="auto"/>
          <w:spacing w:val="-4"/>
        </w:rPr>
        <w:t>四</w:t>
      </w:r>
      <w:r>
        <w:rPr>
          <w:rFonts w:ascii="Times New Roman" w:eastAsia="仿宋" w:cs="Times New Roman"/>
          <w:snapToGrid w:val="0"/>
          <w:color w:val="auto"/>
          <w:spacing w:val="-4"/>
          <w:lang w:eastAsia="en-US"/>
        </w:rPr>
        <w:t>、推免生评价方法</w:t>
      </w:r>
    </w:p>
    <w:p w14:paraId="67144212">
      <w:pPr>
        <w:pStyle w:val="3"/>
        <w:numPr>
          <w:ilvl w:val="0"/>
          <w:numId w:val="1"/>
        </w:numPr>
        <w:spacing w:before="195" w:line="360" w:lineRule="auto"/>
        <w:ind w:right="52" w:firstLine="466"/>
        <w:rPr>
          <w:rFonts w:ascii="Times New Roman" w:hAnsi="Times New Roman" w:eastAsia="仿宋" w:cs="Times New Roman"/>
          <w:color w:val="auto"/>
          <w:sz w:val="24"/>
          <w:szCs w:val="24"/>
        </w:rPr>
      </w:pPr>
      <w:r>
        <w:rPr>
          <w:rFonts w:ascii="Times New Roman" w:hAnsi="Times New Roman" w:eastAsia="仿宋" w:cs="Times New Roman"/>
          <w:b/>
          <w:bCs/>
          <w:color w:val="auto"/>
          <w:spacing w:val="-4"/>
          <w:sz w:val="24"/>
          <w:szCs w:val="24"/>
          <w:lang w:eastAsia="zh-CN"/>
        </w:rPr>
        <w:t>总则：</w:t>
      </w:r>
    </w:p>
    <w:p w14:paraId="0F37A494">
      <w:pPr>
        <w:spacing w:before="78" w:line="360" w:lineRule="auto"/>
        <w:ind w:left="25" w:firstLine="480" w:firstLineChars="200"/>
        <w:outlineLvl w:val="1"/>
        <w:rPr>
          <w:rFonts w:ascii="Times New Roman" w:hAnsi="Times New Roman" w:eastAsia="仿宋" w:cs="Times New Roman"/>
          <w:sz w:val="24"/>
          <w:szCs w:val="24"/>
          <w:shd w:val="clear" w:color="auto" w:fill="FFFFFF"/>
        </w:rPr>
      </w:pPr>
      <w:r>
        <w:rPr>
          <w:rFonts w:ascii="Times New Roman" w:hAnsi="Times New Roman" w:eastAsia="仿宋" w:cs="Times New Roman"/>
          <w:sz w:val="24"/>
          <w:szCs w:val="24"/>
          <w:shd w:val="clear" w:color="auto" w:fill="FFFFFF"/>
        </w:rPr>
        <w:t>严格执行</w:t>
      </w:r>
      <w:r>
        <w:rPr>
          <w:rFonts w:hint="eastAsia" w:ascii="Times New Roman" w:hAnsi="Times New Roman" w:eastAsia="仿宋" w:cs="Times New Roman"/>
          <w:sz w:val="24"/>
          <w:szCs w:val="24"/>
          <w:shd w:val="clear" w:color="auto" w:fill="FFFFFF"/>
        </w:rPr>
        <w:t>《东华大学</w:t>
      </w:r>
      <w:r>
        <w:rPr>
          <w:rFonts w:ascii="Times New Roman" w:hAnsi="Times New Roman" w:eastAsia="仿宋" w:cs="Times New Roman"/>
          <w:sz w:val="24"/>
          <w:szCs w:val="24"/>
          <w:shd w:val="clear" w:color="auto" w:fill="FFFFFF"/>
        </w:rPr>
        <w:t>2027年推荐优秀应届本科毕业生免试攻读研究生实施办法》的规定。以综合评分的方式对申请人进行评价。综合评分由学习能力分、创新能力分、实践能力分、特殊贡献分四个部分加总获得。</w:t>
      </w:r>
    </w:p>
    <w:p w14:paraId="64B174CA">
      <w:pPr>
        <w:widowControl/>
        <w:numPr>
          <w:ilvl w:val="0"/>
          <w:numId w:val="1"/>
        </w:numPr>
        <w:kinsoku w:val="0"/>
        <w:autoSpaceDE w:val="0"/>
        <w:autoSpaceDN w:val="0"/>
        <w:adjustRightInd w:val="0"/>
        <w:snapToGrid w:val="0"/>
        <w:spacing w:before="78" w:line="360" w:lineRule="auto"/>
        <w:jc w:val="left"/>
        <w:textAlignment w:val="baseline"/>
        <w:outlineLvl w:val="1"/>
        <w:rPr>
          <w:rFonts w:ascii="Times New Roman" w:hAnsi="Times New Roman" w:eastAsia="仿宋" w:cs="Times New Roman"/>
          <w:b/>
          <w:bCs/>
          <w:spacing w:val="-4"/>
          <w:sz w:val="24"/>
          <w:szCs w:val="24"/>
        </w:rPr>
      </w:pPr>
      <w:r>
        <w:rPr>
          <w:rFonts w:ascii="Times New Roman" w:hAnsi="Times New Roman" w:eastAsia="仿宋" w:cs="Times New Roman"/>
          <w:b/>
          <w:bCs/>
          <w:snapToGrid w:val="0"/>
          <w:spacing w:val="-4"/>
          <w:kern w:val="0"/>
          <w:sz w:val="24"/>
          <w:szCs w:val="24"/>
        </w:rPr>
        <w:t>“学习能力分”计分方法：</w:t>
      </w:r>
      <w:r>
        <w:rPr>
          <w:rFonts w:hint="eastAsia" w:ascii="Times New Roman" w:hAnsi="Times New Roman" w:eastAsia="仿宋" w:cs="Times New Roman"/>
          <w:snapToGrid w:val="0"/>
          <w:spacing w:val="-2"/>
          <w:kern w:val="0"/>
          <w:sz w:val="24"/>
          <w:szCs w:val="24"/>
        </w:rPr>
        <w:t>以本科阶段入学以来至</w:t>
      </w:r>
      <w:r>
        <w:rPr>
          <w:rFonts w:ascii="Times New Roman" w:hAnsi="Times New Roman" w:eastAsia="仿宋" w:cs="Times New Roman"/>
          <w:snapToGrid w:val="0"/>
          <w:spacing w:val="-2"/>
          <w:kern w:val="0"/>
          <w:sz w:val="24"/>
          <w:szCs w:val="24"/>
        </w:rPr>
        <w:t xml:space="preserve"> 2025-2026 学年第二学期的评优绩点（各门课的首次考试成绩）计算。</w:t>
      </w:r>
    </w:p>
    <w:p w14:paraId="06DA5DFA">
      <w:pPr>
        <w:widowControl/>
        <w:numPr>
          <w:ilvl w:val="0"/>
          <w:numId w:val="1"/>
        </w:numPr>
        <w:kinsoku w:val="0"/>
        <w:autoSpaceDE w:val="0"/>
        <w:autoSpaceDN w:val="0"/>
        <w:adjustRightInd w:val="0"/>
        <w:snapToGrid w:val="0"/>
        <w:spacing w:line="360" w:lineRule="auto"/>
        <w:jc w:val="left"/>
        <w:textAlignment w:val="baseline"/>
        <w:rPr>
          <w:rFonts w:ascii="Times New Roman" w:hAnsi="Times New Roman" w:eastAsia="仿宋" w:cs="Times New Roman"/>
          <w:sz w:val="24"/>
          <w:szCs w:val="24"/>
        </w:rPr>
      </w:pPr>
      <w:r>
        <w:rPr>
          <w:rFonts w:ascii="Times New Roman" w:hAnsi="Times New Roman" w:eastAsia="仿宋" w:cs="Times New Roman"/>
          <w:b/>
          <w:bCs/>
          <w:snapToGrid w:val="0"/>
          <w:spacing w:val="-4"/>
          <w:kern w:val="0"/>
          <w:sz w:val="24"/>
          <w:szCs w:val="24"/>
        </w:rPr>
        <w:t>“创新能力分”计分方法：</w:t>
      </w:r>
      <w:r>
        <w:rPr>
          <w:rFonts w:ascii="Times New Roman" w:hAnsi="Times New Roman" w:eastAsia="仿宋" w:cs="Times New Roman"/>
          <w:sz w:val="24"/>
          <w:szCs w:val="24"/>
        </w:rPr>
        <w:t>计分方法按照《</w:t>
      </w:r>
      <w:r>
        <w:rPr>
          <w:rFonts w:hint="eastAsia" w:ascii="Times New Roman" w:hAnsi="Times New Roman" w:eastAsia="仿宋" w:cs="Times New Roman"/>
          <w:sz w:val="24"/>
          <w:szCs w:val="24"/>
        </w:rPr>
        <w:t>东华大学</w:t>
      </w:r>
      <w:r>
        <w:rPr>
          <w:rFonts w:ascii="Times New Roman" w:hAnsi="Times New Roman" w:eastAsia="仿宋" w:cs="Times New Roman"/>
          <w:sz w:val="24"/>
          <w:szCs w:val="24"/>
        </w:rPr>
        <w:t>2027年推荐优秀应届本科毕业生免试攻读研究生实施办法》执行。</w:t>
      </w:r>
    </w:p>
    <w:p w14:paraId="0253E537">
      <w:pPr>
        <w:spacing w:before="78" w:line="360" w:lineRule="auto"/>
        <w:ind w:firstLine="464" w:firstLineChars="200"/>
        <w:outlineLvl w:val="1"/>
        <w:rPr>
          <w:rFonts w:ascii="Times New Roman" w:hAnsi="Times New Roman" w:eastAsia="仿宋" w:cs="Times New Roman"/>
          <w:snapToGrid w:val="0"/>
          <w:spacing w:val="-4"/>
          <w:kern w:val="0"/>
          <w:sz w:val="24"/>
          <w:szCs w:val="24"/>
        </w:rPr>
      </w:pPr>
      <w:r>
        <w:rPr>
          <w:rFonts w:ascii="Times New Roman" w:hAnsi="Times New Roman" w:eastAsia="仿宋" w:cs="Times New Roman"/>
          <w:snapToGrid w:val="0"/>
          <w:spacing w:val="-4"/>
          <w:kern w:val="0"/>
          <w:sz w:val="24"/>
          <w:szCs w:val="24"/>
        </w:rPr>
        <w:t>学院认定增补的学科竞赛名单：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1060"/>
        <w:gridCol w:w="4416"/>
      </w:tblGrid>
      <w:tr w14:paraId="2295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vAlign w:val="center"/>
          </w:tcPr>
          <w:p w14:paraId="678D1498">
            <w:pPr>
              <w:jc w:val="center"/>
              <w:rPr>
                <w:rFonts w:ascii="Times New Roman" w:hAnsi="Times New Roman" w:eastAsia="仿宋" w:cs="Times New Roman"/>
                <w:b/>
                <w:szCs w:val="21"/>
              </w:rPr>
            </w:pPr>
            <w:r>
              <w:rPr>
                <w:rFonts w:ascii="Times New Roman" w:hAnsi="Times New Roman" w:eastAsia="仿宋" w:cs="Times New Roman"/>
                <w:b/>
                <w:szCs w:val="21"/>
              </w:rPr>
              <w:t>序号</w:t>
            </w:r>
          </w:p>
        </w:tc>
        <w:tc>
          <w:tcPr>
            <w:tcW w:w="0" w:type="auto"/>
            <w:vAlign w:val="center"/>
          </w:tcPr>
          <w:p w14:paraId="2A5BEC1B">
            <w:pPr>
              <w:jc w:val="center"/>
              <w:rPr>
                <w:rFonts w:ascii="Times New Roman" w:hAnsi="Times New Roman" w:eastAsia="仿宋" w:cs="Times New Roman"/>
                <w:b/>
                <w:szCs w:val="21"/>
              </w:rPr>
            </w:pPr>
            <w:r>
              <w:rPr>
                <w:rFonts w:ascii="Times New Roman" w:hAnsi="Times New Roman" w:eastAsia="仿宋" w:cs="Times New Roman"/>
                <w:b/>
                <w:szCs w:val="21"/>
              </w:rPr>
              <w:t>竞赛级别</w:t>
            </w:r>
          </w:p>
        </w:tc>
        <w:tc>
          <w:tcPr>
            <w:tcW w:w="0" w:type="auto"/>
            <w:vAlign w:val="center"/>
          </w:tcPr>
          <w:p w14:paraId="237D8CF8">
            <w:pPr>
              <w:jc w:val="center"/>
              <w:rPr>
                <w:rFonts w:ascii="Times New Roman" w:hAnsi="Times New Roman" w:eastAsia="仿宋" w:cs="Times New Roman"/>
                <w:b/>
                <w:szCs w:val="21"/>
              </w:rPr>
            </w:pPr>
            <w:r>
              <w:rPr>
                <w:rFonts w:ascii="Times New Roman" w:hAnsi="Times New Roman" w:eastAsia="仿宋" w:cs="Times New Roman"/>
                <w:b/>
                <w:szCs w:val="21"/>
              </w:rPr>
              <w:t>竞赛名称</w:t>
            </w:r>
          </w:p>
        </w:tc>
      </w:tr>
      <w:tr w14:paraId="71F4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68BFDC62">
            <w:pPr>
              <w:jc w:val="center"/>
              <w:rPr>
                <w:rFonts w:ascii="Times New Roman" w:hAnsi="Times New Roman" w:eastAsia="仿宋" w:cs="Times New Roman"/>
                <w:szCs w:val="21"/>
              </w:rPr>
            </w:pPr>
            <w:r>
              <w:rPr>
                <w:rFonts w:ascii="Times New Roman" w:hAnsi="Times New Roman" w:eastAsia="仿宋" w:cs="Times New Roman"/>
                <w:szCs w:val="21"/>
              </w:rPr>
              <w:t>1</w:t>
            </w:r>
          </w:p>
        </w:tc>
        <w:tc>
          <w:tcPr>
            <w:tcW w:w="0" w:type="auto"/>
            <w:vAlign w:val="center"/>
          </w:tcPr>
          <w:p w14:paraId="23769BE2">
            <w:pPr>
              <w:jc w:val="center"/>
              <w:rPr>
                <w:rFonts w:ascii="Times New Roman" w:hAnsi="Times New Roman" w:eastAsia="仿宋" w:cs="Times New Roman"/>
                <w:szCs w:val="21"/>
              </w:rPr>
            </w:pPr>
            <w:r>
              <w:rPr>
                <w:rFonts w:ascii="Times New Roman" w:hAnsi="Times New Roman" w:eastAsia="仿宋" w:cs="Times New Roman"/>
                <w:szCs w:val="21"/>
              </w:rPr>
              <w:t>国家级</w:t>
            </w:r>
          </w:p>
        </w:tc>
        <w:tc>
          <w:tcPr>
            <w:tcW w:w="0" w:type="auto"/>
            <w:vAlign w:val="center"/>
          </w:tcPr>
          <w:p w14:paraId="1846DF62">
            <w:pPr>
              <w:jc w:val="center"/>
              <w:rPr>
                <w:rFonts w:ascii="Times New Roman" w:hAnsi="Times New Roman" w:eastAsia="仿宋" w:cs="Times New Roman"/>
                <w:szCs w:val="21"/>
              </w:rPr>
            </w:pPr>
            <w:r>
              <w:rPr>
                <w:rFonts w:ascii="Times New Roman" w:hAnsi="Times New Roman" w:eastAsia="仿宋" w:cs="Times New Roman"/>
                <w:szCs w:val="21"/>
              </w:rPr>
              <w:t>全国大学生化学实验竞赛</w:t>
            </w:r>
          </w:p>
        </w:tc>
      </w:tr>
      <w:tr w14:paraId="0460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474D86D4">
            <w:pPr>
              <w:jc w:val="center"/>
              <w:rPr>
                <w:rFonts w:ascii="Times New Roman" w:hAnsi="Times New Roman" w:eastAsia="仿宋" w:cs="Times New Roman"/>
                <w:szCs w:val="21"/>
              </w:rPr>
            </w:pPr>
            <w:r>
              <w:rPr>
                <w:rFonts w:ascii="Times New Roman" w:hAnsi="Times New Roman" w:eastAsia="仿宋" w:cs="Times New Roman"/>
                <w:szCs w:val="21"/>
              </w:rPr>
              <w:t>2</w:t>
            </w:r>
          </w:p>
        </w:tc>
        <w:tc>
          <w:tcPr>
            <w:tcW w:w="0" w:type="auto"/>
            <w:vAlign w:val="center"/>
          </w:tcPr>
          <w:p w14:paraId="043A3B53">
            <w:pPr>
              <w:jc w:val="center"/>
              <w:rPr>
                <w:rFonts w:ascii="Times New Roman" w:hAnsi="Times New Roman" w:eastAsia="仿宋" w:cs="Times New Roman"/>
                <w:szCs w:val="21"/>
              </w:rPr>
            </w:pPr>
            <w:r>
              <w:rPr>
                <w:rFonts w:ascii="Times New Roman" w:hAnsi="Times New Roman" w:eastAsia="仿宋" w:cs="Times New Roman"/>
                <w:szCs w:val="21"/>
              </w:rPr>
              <w:t>国家级</w:t>
            </w:r>
          </w:p>
        </w:tc>
        <w:tc>
          <w:tcPr>
            <w:tcW w:w="0" w:type="auto"/>
            <w:vAlign w:val="center"/>
          </w:tcPr>
          <w:p w14:paraId="49029D7E">
            <w:pPr>
              <w:jc w:val="center"/>
              <w:rPr>
                <w:rFonts w:ascii="Times New Roman" w:hAnsi="Times New Roman" w:eastAsia="仿宋" w:cs="Times New Roman"/>
                <w:szCs w:val="21"/>
              </w:rPr>
            </w:pPr>
            <w:r>
              <w:rPr>
                <w:rFonts w:ascii="Times New Roman" w:hAnsi="Times New Roman" w:eastAsia="仿宋" w:cs="Times New Roman"/>
                <w:szCs w:val="21"/>
              </w:rPr>
              <w:t>全国大学生高分子材料实验实践大赛</w:t>
            </w:r>
          </w:p>
        </w:tc>
      </w:tr>
      <w:tr w14:paraId="64C5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101B846F">
            <w:pPr>
              <w:jc w:val="center"/>
              <w:rPr>
                <w:rFonts w:ascii="Times New Roman" w:hAnsi="Times New Roman" w:eastAsia="仿宋" w:cs="Times New Roman"/>
                <w:szCs w:val="21"/>
              </w:rPr>
            </w:pPr>
            <w:r>
              <w:rPr>
                <w:rFonts w:ascii="Times New Roman" w:hAnsi="Times New Roman" w:eastAsia="仿宋" w:cs="Times New Roman"/>
                <w:szCs w:val="21"/>
              </w:rPr>
              <w:t>3</w:t>
            </w:r>
          </w:p>
        </w:tc>
        <w:tc>
          <w:tcPr>
            <w:tcW w:w="0" w:type="auto"/>
            <w:vAlign w:val="center"/>
          </w:tcPr>
          <w:p w14:paraId="0AB44E26">
            <w:pPr>
              <w:jc w:val="center"/>
              <w:rPr>
                <w:rFonts w:ascii="Times New Roman" w:hAnsi="Times New Roman" w:eastAsia="仿宋" w:cs="Times New Roman"/>
                <w:szCs w:val="21"/>
              </w:rPr>
            </w:pPr>
            <w:r>
              <w:rPr>
                <w:rFonts w:ascii="Times New Roman" w:hAnsi="Times New Roman" w:eastAsia="仿宋" w:cs="Times New Roman"/>
                <w:szCs w:val="21"/>
              </w:rPr>
              <w:t>国家级</w:t>
            </w:r>
          </w:p>
        </w:tc>
        <w:tc>
          <w:tcPr>
            <w:tcW w:w="0" w:type="auto"/>
            <w:vAlign w:val="center"/>
          </w:tcPr>
          <w:p w14:paraId="4226C7A5">
            <w:pPr>
              <w:jc w:val="center"/>
              <w:rPr>
                <w:rFonts w:ascii="Times New Roman" w:hAnsi="Times New Roman" w:eastAsia="仿宋" w:cs="Times New Roman"/>
                <w:szCs w:val="21"/>
              </w:rPr>
            </w:pPr>
            <w:r>
              <w:rPr>
                <w:rFonts w:ascii="Times New Roman" w:hAnsi="Times New Roman" w:eastAsia="仿宋" w:cs="Times New Roman"/>
                <w:szCs w:val="21"/>
              </w:rPr>
              <w:t>全国大学生高分子材料创新创业大赛</w:t>
            </w:r>
          </w:p>
        </w:tc>
      </w:tr>
      <w:tr w14:paraId="4999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149C005E">
            <w:pPr>
              <w:jc w:val="center"/>
              <w:rPr>
                <w:rFonts w:ascii="Times New Roman" w:hAnsi="Times New Roman" w:eastAsia="仿宋" w:cs="Times New Roman"/>
                <w:szCs w:val="21"/>
              </w:rPr>
            </w:pPr>
            <w:r>
              <w:rPr>
                <w:rFonts w:ascii="Times New Roman" w:hAnsi="Times New Roman" w:eastAsia="仿宋" w:cs="Times New Roman"/>
                <w:szCs w:val="21"/>
              </w:rPr>
              <w:t>4</w:t>
            </w:r>
          </w:p>
        </w:tc>
        <w:tc>
          <w:tcPr>
            <w:tcW w:w="0" w:type="auto"/>
            <w:vAlign w:val="center"/>
          </w:tcPr>
          <w:p w14:paraId="3FC6D577">
            <w:pPr>
              <w:jc w:val="center"/>
              <w:rPr>
                <w:rFonts w:ascii="Times New Roman" w:hAnsi="Times New Roman" w:eastAsia="仿宋" w:cs="Times New Roman"/>
                <w:szCs w:val="21"/>
              </w:rPr>
            </w:pPr>
            <w:r>
              <w:rPr>
                <w:rFonts w:ascii="Times New Roman" w:hAnsi="Times New Roman" w:eastAsia="仿宋" w:cs="Times New Roman"/>
                <w:szCs w:val="21"/>
              </w:rPr>
              <w:t>国家级</w:t>
            </w:r>
          </w:p>
        </w:tc>
        <w:tc>
          <w:tcPr>
            <w:tcW w:w="0" w:type="auto"/>
            <w:vAlign w:val="center"/>
          </w:tcPr>
          <w:p w14:paraId="49F7FC5D">
            <w:pPr>
              <w:jc w:val="center"/>
              <w:rPr>
                <w:rFonts w:ascii="Times New Roman" w:hAnsi="Times New Roman" w:eastAsia="仿宋" w:cs="Times New Roman"/>
                <w:szCs w:val="21"/>
              </w:rPr>
            </w:pPr>
            <w:r>
              <w:rPr>
                <w:rFonts w:ascii="Times New Roman" w:hAnsi="Times New Roman" w:eastAsia="仿宋" w:cs="Times New Roman"/>
                <w:szCs w:val="21"/>
              </w:rPr>
              <w:t>全国大学生高分子材料实验实践虚拟仿真大赛</w:t>
            </w:r>
          </w:p>
        </w:tc>
      </w:tr>
      <w:tr w14:paraId="20FD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14:paraId="1A8DABC4">
            <w:pPr>
              <w:jc w:val="center"/>
              <w:rPr>
                <w:rFonts w:ascii="Times New Roman" w:hAnsi="Times New Roman" w:eastAsia="仿宋" w:cs="Times New Roman"/>
                <w:szCs w:val="21"/>
              </w:rPr>
            </w:pPr>
            <w:r>
              <w:rPr>
                <w:rFonts w:ascii="Times New Roman" w:hAnsi="Times New Roman" w:eastAsia="仿宋" w:cs="Times New Roman"/>
                <w:szCs w:val="21"/>
              </w:rPr>
              <w:t>5</w:t>
            </w:r>
          </w:p>
        </w:tc>
        <w:tc>
          <w:tcPr>
            <w:tcW w:w="0" w:type="auto"/>
            <w:vAlign w:val="center"/>
          </w:tcPr>
          <w:p w14:paraId="480336A0">
            <w:pPr>
              <w:jc w:val="center"/>
              <w:rPr>
                <w:rFonts w:ascii="Times New Roman" w:hAnsi="Times New Roman" w:eastAsia="仿宋" w:cs="Times New Roman"/>
                <w:szCs w:val="21"/>
              </w:rPr>
            </w:pPr>
            <w:r>
              <w:rPr>
                <w:rFonts w:ascii="Times New Roman" w:hAnsi="Times New Roman" w:eastAsia="仿宋" w:cs="Times New Roman"/>
                <w:szCs w:val="21"/>
              </w:rPr>
              <w:t>国家级</w:t>
            </w:r>
          </w:p>
        </w:tc>
        <w:tc>
          <w:tcPr>
            <w:tcW w:w="0" w:type="auto"/>
            <w:vAlign w:val="center"/>
          </w:tcPr>
          <w:p w14:paraId="3E536959">
            <w:pPr>
              <w:jc w:val="center"/>
              <w:rPr>
                <w:rFonts w:ascii="Times New Roman" w:hAnsi="Times New Roman" w:eastAsia="仿宋" w:cs="Times New Roman"/>
                <w:szCs w:val="21"/>
              </w:rPr>
            </w:pPr>
            <w:r>
              <w:rPr>
                <w:rFonts w:ascii="Times New Roman" w:hAnsi="Times New Roman" w:eastAsia="仿宋" w:cs="Times New Roman"/>
                <w:szCs w:val="21"/>
              </w:rPr>
              <w:t>SAMPE国际超轻复合材料机翼/桥梁学生竞赛</w:t>
            </w:r>
          </w:p>
        </w:tc>
      </w:tr>
    </w:tbl>
    <w:p w14:paraId="3123D162">
      <w:pPr>
        <w:widowControl/>
        <w:numPr>
          <w:ilvl w:val="0"/>
          <w:numId w:val="1"/>
        </w:numPr>
        <w:kinsoku w:val="0"/>
        <w:autoSpaceDE w:val="0"/>
        <w:autoSpaceDN w:val="0"/>
        <w:adjustRightInd w:val="0"/>
        <w:snapToGrid w:val="0"/>
        <w:spacing w:before="78" w:line="360" w:lineRule="auto"/>
        <w:jc w:val="left"/>
        <w:textAlignment w:val="baseline"/>
        <w:outlineLvl w:val="1"/>
        <w:rPr>
          <w:rFonts w:ascii="Times New Roman" w:hAnsi="Times New Roman" w:eastAsia="仿宋" w:cs="Times New Roman"/>
          <w:b/>
          <w:bCs/>
          <w:spacing w:val="-4"/>
          <w:sz w:val="24"/>
          <w:szCs w:val="24"/>
        </w:rPr>
      </w:pPr>
      <w:r>
        <w:rPr>
          <w:rFonts w:ascii="Times New Roman" w:hAnsi="Times New Roman" w:eastAsia="仿宋" w:cs="Times New Roman"/>
          <w:b/>
          <w:bCs/>
          <w:snapToGrid w:val="0"/>
          <w:spacing w:val="-4"/>
          <w:kern w:val="0"/>
          <w:sz w:val="24"/>
          <w:szCs w:val="24"/>
        </w:rPr>
        <w:t>“实践能力分”计分方法：</w:t>
      </w:r>
      <w:r>
        <w:rPr>
          <w:rFonts w:ascii="Times New Roman" w:hAnsi="Times New Roman" w:eastAsia="仿宋" w:cs="Times New Roman"/>
          <w:b/>
          <w:bCs/>
          <w:spacing w:val="-4"/>
          <w:sz w:val="24"/>
          <w:szCs w:val="24"/>
        </w:rPr>
        <w:t xml:space="preserve"> </w:t>
      </w:r>
    </w:p>
    <w:p w14:paraId="4624661B">
      <w:pPr>
        <w:widowControl/>
        <w:spacing w:line="360" w:lineRule="auto"/>
        <w:ind w:firstLine="480" w:firstLineChars="200"/>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每位申请人的实践能力分最大值不超过0.1（超过0.1以0.1计算），且须如实提供申请材料，一旦发现弄虚作假者，取消申请资格。</w:t>
      </w:r>
    </w:p>
    <w:p w14:paraId="7D6DFAEA">
      <w:pPr>
        <w:widowControl/>
        <w:spacing w:line="360" w:lineRule="auto"/>
        <w:ind w:firstLine="480" w:firstLineChars="200"/>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1、社会工作方面：承担学校或学院学生组织主要学生工作（校院学生会主席团、学院团委副书记、校院易班工作站站长、校院志愿者管理中心主任、学院新媒体中心主任、学院党管中心主任等主要学生组织干部）满一年，表现突出，且同时获得国家级个人荣誉称号加0.06分；获得市级个人荣誉称号加0.05分；获得校级个人荣誉称号加0.04分。备注：以上不得累加，仅以最高分值计分。</w:t>
      </w:r>
    </w:p>
    <w:p w14:paraId="7F3FCC6E">
      <w:pPr>
        <w:widowControl/>
        <w:spacing w:line="360" w:lineRule="auto"/>
        <w:ind w:firstLine="480" w:firstLineChars="200"/>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2、社会实践方面：本科生期间参加暑期社会实践，其项目荣获市级及以上荣誉，团队所有本学院成员加0.05；在读期间有本校助理专职辅导员或兼职辅导员经历的在校本科生，工作表现突出且获得校级（证书敲章为校级行政或者党委）及以上相关表彰者加0.05。</w:t>
      </w:r>
    </w:p>
    <w:p w14:paraId="4D9287AE">
      <w:pPr>
        <w:widowControl/>
        <w:spacing w:line="360" w:lineRule="auto"/>
        <w:ind w:firstLine="480" w:firstLineChars="200"/>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3、其他方面，见附表。</w:t>
      </w:r>
    </w:p>
    <w:p w14:paraId="096BF176">
      <w:pPr>
        <w:widowControl/>
        <w:spacing w:line="360" w:lineRule="auto"/>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附表：</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7592"/>
      </w:tblGrid>
      <w:tr w14:paraId="4B8EA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0D1AE7C7">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序号</w:t>
            </w:r>
          </w:p>
        </w:tc>
        <w:tc>
          <w:tcPr>
            <w:tcW w:w="7592" w:type="dxa"/>
          </w:tcPr>
          <w:p w14:paraId="5C3A81B3">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奖项名称</w:t>
            </w:r>
          </w:p>
        </w:tc>
      </w:tr>
      <w:tr w14:paraId="3C87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3B1D03D7">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w:t>
            </w:r>
          </w:p>
        </w:tc>
        <w:tc>
          <w:tcPr>
            <w:tcW w:w="7592" w:type="dxa"/>
          </w:tcPr>
          <w:p w14:paraId="63292545">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全国大学生网络文化节优秀作品等级奖</w:t>
            </w:r>
          </w:p>
        </w:tc>
      </w:tr>
      <w:tr w14:paraId="26DE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3F74183D">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2</w:t>
            </w:r>
          </w:p>
        </w:tc>
        <w:tc>
          <w:tcPr>
            <w:tcW w:w="7592" w:type="dxa"/>
          </w:tcPr>
          <w:p w14:paraId="63D2BE64">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全国高校大学生微电影展示等级奖</w:t>
            </w:r>
          </w:p>
        </w:tc>
      </w:tr>
      <w:tr w14:paraId="0CF3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4F71C6A1">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3</w:t>
            </w:r>
          </w:p>
        </w:tc>
        <w:tc>
          <w:tcPr>
            <w:tcW w:w="7592" w:type="dxa"/>
          </w:tcPr>
          <w:p w14:paraId="5ADDE04F">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全国高校大学生讲思政课公开课展示活动等级奖</w:t>
            </w:r>
          </w:p>
        </w:tc>
      </w:tr>
      <w:tr w14:paraId="673EC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65D3B886">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4</w:t>
            </w:r>
          </w:p>
        </w:tc>
        <w:tc>
          <w:tcPr>
            <w:tcW w:w="7592" w:type="dxa"/>
          </w:tcPr>
          <w:p w14:paraId="065ADF8C">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上海大学生网络文化节&amp;上海高校网络教育优秀作品推选展示活动等级奖</w:t>
            </w:r>
          </w:p>
        </w:tc>
      </w:tr>
      <w:tr w14:paraId="0748E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6DC3C3C7">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5</w:t>
            </w:r>
          </w:p>
        </w:tc>
        <w:tc>
          <w:tcPr>
            <w:tcW w:w="7592" w:type="dxa"/>
          </w:tcPr>
          <w:p w14:paraId="0A3AA7ED">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全国最美大学生</w:t>
            </w:r>
          </w:p>
        </w:tc>
      </w:tr>
      <w:tr w14:paraId="6731B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120674A1">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6</w:t>
            </w:r>
          </w:p>
        </w:tc>
        <w:tc>
          <w:tcPr>
            <w:tcW w:w="7592" w:type="dxa"/>
          </w:tcPr>
          <w:p w14:paraId="1CB5029B">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中国大学生年度人物</w:t>
            </w:r>
          </w:p>
        </w:tc>
      </w:tr>
      <w:tr w14:paraId="2F6E9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7A545547">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7</w:t>
            </w:r>
          </w:p>
        </w:tc>
        <w:tc>
          <w:tcPr>
            <w:tcW w:w="7592" w:type="dxa"/>
          </w:tcPr>
          <w:p w14:paraId="10588838">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上海大学生年度人物</w:t>
            </w:r>
          </w:p>
        </w:tc>
      </w:tr>
      <w:tr w14:paraId="4118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409FC521">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8</w:t>
            </w:r>
          </w:p>
        </w:tc>
        <w:tc>
          <w:tcPr>
            <w:tcW w:w="7592" w:type="dxa"/>
          </w:tcPr>
          <w:p w14:paraId="4C5A5915">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中国大学生自强之星</w:t>
            </w:r>
          </w:p>
        </w:tc>
      </w:tr>
      <w:tr w14:paraId="6A89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5BBB44CB">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9</w:t>
            </w:r>
          </w:p>
        </w:tc>
        <w:tc>
          <w:tcPr>
            <w:tcW w:w="7592" w:type="dxa"/>
          </w:tcPr>
          <w:p w14:paraId="3A4B019A">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上海市优秀志愿者</w:t>
            </w:r>
          </w:p>
        </w:tc>
      </w:tr>
      <w:tr w14:paraId="34EF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314E83F3">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10</w:t>
            </w:r>
          </w:p>
        </w:tc>
        <w:tc>
          <w:tcPr>
            <w:tcW w:w="7592" w:type="dxa"/>
          </w:tcPr>
          <w:p w14:paraId="2C28D13A">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全国大中专学生志愿者暑期文化科技卫生“三下乡”社会实践活动优秀个人</w:t>
            </w:r>
          </w:p>
        </w:tc>
      </w:tr>
      <w:tr w14:paraId="75A9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60C123DC">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11</w:t>
            </w:r>
          </w:p>
        </w:tc>
        <w:tc>
          <w:tcPr>
            <w:tcW w:w="7592" w:type="dxa"/>
          </w:tcPr>
          <w:p w14:paraId="6C89986B">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中国青年志愿服务公益创业赛金银铜奖</w:t>
            </w:r>
          </w:p>
        </w:tc>
      </w:tr>
      <w:tr w14:paraId="2C1C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77C25833">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12</w:t>
            </w:r>
          </w:p>
        </w:tc>
        <w:tc>
          <w:tcPr>
            <w:tcW w:w="7592" w:type="dxa"/>
          </w:tcPr>
          <w:p w14:paraId="75BE99BB">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中国青年志愿服务项目大赛金银铜奖</w:t>
            </w:r>
          </w:p>
        </w:tc>
      </w:tr>
      <w:tr w14:paraId="5752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5DBAFF04">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13</w:t>
            </w:r>
          </w:p>
        </w:tc>
        <w:tc>
          <w:tcPr>
            <w:tcW w:w="7592" w:type="dxa"/>
          </w:tcPr>
          <w:p w14:paraId="69D624E7">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“奉献杯”上海青年志愿服务项目大赛等级奖</w:t>
            </w:r>
          </w:p>
        </w:tc>
      </w:tr>
      <w:tr w14:paraId="2E78B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15F91571">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14</w:t>
            </w:r>
          </w:p>
        </w:tc>
        <w:tc>
          <w:tcPr>
            <w:tcW w:w="7592" w:type="dxa"/>
          </w:tcPr>
          <w:p w14:paraId="0FB85A9C">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上海市优秀共青团干部(团员)</w:t>
            </w:r>
          </w:p>
        </w:tc>
      </w:tr>
      <w:tr w14:paraId="6ED1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68CCA331">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15</w:t>
            </w:r>
          </w:p>
        </w:tc>
        <w:tc>
          <w:tcPr>
            <w:tcW w:w="7592" w:type="dxa"/>
          </w:tcPr>
          <w:p w14:paraId="0D9D83B1">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上海市五四青年奖章（学生）</w:t>
            </w:r>
          </w:p>
        </w:tc>
      </w:tr>
      <w:tr w14:paraId="3246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04541C2C">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16</w:t>
            </w:r>
          </w:p>
        </w:tc>
        <w:tc>
          <w:tcPr>
            <w:tcW w:w="7592" w:type="dxa"/>
          </w:tcPr>
          <w:p w14:paraId="29C98027">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上海高校“百个学生党员标兵”</w:t>
            </w:r>
          </w:p>
        </w:tc>
      </w:tr>
      <w:tr w14:paraId="0780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492771D7">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17</w:t>
            </w:r>
          </w:p>
        </w:tc>
        <w:tc>
          <w:tcPr>
            <w:tcW w:w="7592" w:type="dxa"/>
          </w:tcPr>
          <w:p w14:paraId="0947186E">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上海市“优秀共产党员”、“优秀党务工作者”及其他同等级别荣誉</w:t>
            </w:r>
          </w:p>
        </w:tc>
      </w:tr>
      <w:tr w14:paraId="176E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4" w:type="dxa"/>
          </w:tcPr>
          <w:p w14:paraId="77248664">
            <w:pPr>
              <w:widowControl/>
              <w:spacing w:line="360" w:lineRule="auto"/>
              <w:jc w:val="center"/>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18</w:t>
            </w:r>
          </w:p>
        </w:tc>
        <w:tc>
          <w:tcPr>
            <w:tcW w:w="7592" w:type="dxa"/>
          </w:tcPr>
          <w:p w14:paraId="4F44A4AF">
            <w:pPr>
              <w:widowControl/>
              <w:spacing w:line="360" w:lineRule="auto"/>
              <w:jc w:val="left"/>
              <w:rPr>
                <w:rFonts w:ascii="Times New Roman" w:hAnsi="Times New Roman" w:eastAsia="仿宋" w:cs="Times New Roman"/>
                <w:kern w:val="0"/>
                <w:szCs w:val="21"/>
                <w:lang w:bidi="ar"/>
              </w:rPr>
            </w:pPr>
            <w:r>
              <w:rPr>
                <w:rFonts w:ascii="Times New Roman" w:hAnsi="Times New Roman" w:eastAsia="仿宋" w:cs="Times New Roman"/>
                <w:kern w:val="0"/>
                <w:szCs w:val="21"/>
                <w:lang w:bidi="ar"/>
              </w:rPr>
              <w:t>全国大学生职业规划大赛</w:t>
            </w:r>
          </w:p>
        </w:tc>
      </w:tr>
    </w:tbl>
    <w:p w14:paraId="0EAB760F">
      <w:pPr>
        <w:widowControl/>
        <w:spacing w:line="360" w:lineRule="auto"/>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表格中列举的奖项，加分情况如下：</w:t>
      </w:r>
    </w:p>
    <w:p w14:paraId="62DCCA54">
      <w:pPr>
        <w:pStyle w:val="13"/>
        <w:widowControl/>
        <w:numPr>
          <w:ilvl w:val="0"/>
          <w:numId w:val="2"/>
        </w:numPr>
        <w:tabs>
          <w:tab w:val="left" w:pos="5490"/>
        </w:tabs>
        <w:spacing w:line="360" w:lineRule="auto"/>
        <w:ind w:firstLineChars="0"/>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获得国家级一等荣誉加0.06分；</w:t>
      </w:r>
      <w:r>
        <w:rPr>
          <w:rFonts w:ascii="Times New Roman" w:hAnsi="Times New Roman" w:eastAsia="仿宋" w:cs="Times New Roman"/>
          <w:kern w:val="0"/>
          <w:sz w:val="24"/>
          <w:szCs w:val="24"/>
          <w:lang w:bidi="ar"/>
        </w:rPr>
        <w:tab/>
      </w:r>
    </w:p>
    <w:p w14:paraId="4B4AF126">
      <w:pPr>
        <w:pStyle w:val="13"/>
        <w:widowControl/>
        <w:numPr>
          <w:ilvl w:val="0"/>
          <w:numId w:val="2"/>
        </w:numPr>
        <w:spacing w:line="360" w:lineRule="auto"/>
        <w:ind w:firstLineChars="0"/>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获得国家级二等荣誉加0.05分；</w:t>
      </w:r>
    </w:p>
    <w:p w14:paraId="15122995">
      <w:pPr>
        <w:pStyle w:val="13"/>
        <w:widowControl/>
        <w:numPr>
          <w:ilvl w:val="0"/>
          <w:numId w:val="2"/>
        </w:numPr>
        <w:spacing w:line="360" w:lineRule="auto"/>
        <w:ind w:firstLineChars="0"/>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获得国家级三等或上海市级一等荣誉加0.04分；</w:t>
      </w:r>
    </w:p>
    <w:p w14:paraId="74D1E662">
      <w:pPr>
        <w:pStyle w:val="13"/>
        <w:widowControl/>
        <w:numPr>
          <w:ilvl w:val="0"/>
          <w:numId w:val="2"/>
        </w:numPr>
        <w:spacing w:line="360" w:lineRule="auto"/>
        <w:ind w:firstLineChars="0"/>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获得上海市级二等荣誉加0.03分；</w:t>
      </w:r>
    </w:p>
    <w:p w14:paraId="338032B7">
      <w:pPr>
        <w:pStyle w:val="13"/>
        <w:widowControl/>
        <w:numPr>
          <w:ilvl w:val="0"/>
          <w:numId w:val="2"/>
        </w:numPr>
        <w:spacing w:line="360" w:lineRule="auto"/>
        <w:ind w:firstLineChars="0"/>
        <w:jc w:val="left"/>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获得上海市级三等荣誉加0.02分。</w:t>
      </w:r>
    </w:p>
    <w:p w14:paraId="58266CB9">
      <w:pPr>
        <w:numPr>
          <w:ilvl w:val="255"/>
          <w:numId w:val="0"/>
        </w:numPr>
        <w:spacing w:line="360" w:lineRule="auto"/>
        <w:ind w:firstLine="480" w:firstLineChars="200"/>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（以上不得累加，仅以最高分值计分。如设特等奖，则特等奖视同一等奖；金银铜奖等同于一二三等奖；如不设置等级，均按0.05分计算。）</w:t>
      </w:r>
    </w:p>
    <w:p w14:paraId="5525D1AB">
      <w:pPr>
        <w:numPr>
          <w:ilvl w:val="255"/>
          <w:numId w:val="0"/>
        </w:numPr>
        <w:spacing w:line="360" w:lineRule="auto"/>
        <w:ind w:firstLine="480" w:firstLineChars="200"/>
        <w:rPr>
          <w:rFonts w:ascii="Times New Roman" w:hAnsi="Times New Roman" w:eastAsia="仿宋" w:cs="Times New Roman"/>
          <w:kern w:val="0"/>
          <w:sz w:val="24"/>
          <w:szCs w:val="24"/>
          <w:lang w:bidi="ar"/>
        </w:rPr>
      </w:pPr>
      <w:r>
        <w:rPr>
          <w:rFonts w:ascii="Times New Roman" w:hAnsi="Times New Roman" w:eastAsia="仿宋" w:cs="Times New Roman"/>
          <w:kern w:val="0"/>
          <w:sz w:val="24"/>
          <w:szCs w:val="24"/>
          <w:lang w:bidi="ar"/>
        </w:rPr>
        <w:t>4. 团体获奖仅限省部级及以上获奖，获奖团队总人数小于等于3人的，每人平均得分；总人数大于3人的，团队第一负责学生得分占该项奖项得分的30%，余下分数由其他团队成员平分。团队成员身份及成员排名由指导教师出具证明材料。</w:t>
      </w:r>
    </w:p>
    <w:p w14:paraId="26E96C82">
      <w:pPr>
        <w:widowControl/>
        <w:numPr>
          <w:ilvl w:val="0"/>
          <w:numId w:val="1"/>
        </w:numPr>
        <w:kinsoku w:val="0"/>
        <w:autoSpaceDE w:val="0"/>
        <w:autoSpaceDN w:val="0"/>
        <w:adjustRightInd w:val="0"/>
        <w:snapToGrid w:val="0"/>
        <w:spacing w:line="360" w:lineRule="auto"/>
        <w:jc w:val="left"/>
        <w:textAlignment w:val="baseline"/>
        <w:rPr>
          <w:rFonts w:ascii="Times New Roman" w:hAnsi="Times New Roman" w:eastAsia="仿宋" w:cs="Times New Roman"/>
          <w:sz w:val="24"/>
          <w:szCs w:val="24"/>
        </w:rPr>
      </w:pPr>
      <w:r>
        <w:rPr>
          <w:rFonts w:ascii="Times New Roman" w:hAnsi="Times New Roman" w:eastAsia="仿宋" w:cs="Times New Roman"/>
          <w:b/>
          <w:bCs/>
          <w:snapToGrid w:val="0"/>
          <w:spacing w:val="-4"/>
          <w:kern w:val="0"/>
          <w:sz w:val="24"/>
          <w:szCs w:val="24"/>
        </w:rPr>
        <w:t>“特殊贡献分”计分方法：</w:t>
      </w:r>
      <w:r>
        <w:rPr>
          <w:rFonts w:ascii="Times New Roman" w:hAnsi="Times New Roman" w:eastAsia="仿宋" w:cs="Times New Roman"/>
          <w:sz w:val="24"/>
          <w:szCs w:val="24"/>
        </w:rPr>
        <w:t>计分方法按照《</w:t>
      </w:r>
      <w:r>
        <w:rPr>
          <w:rFonts w:hint="eastAsia" w:ascii="Times New Roman" w:hAnsi="Times New Roman" w:eastAsia="仿宋" w:cs="Times New Roman"/>
          <w:sz w:val="24"/>
          <w:szCs w:val="24"/>
        </w:rPr>
        <w:t>东华大学</w:t>
      </w:r>
      <w:r>
        <w:rPr>
          <w:rFonts w:ascii="Times New Roman" w:hAnsi="Times New Roman" w:eastAsia="仿宋" w:cs="Times New Roman"/>
          <w:sz w:val="24"/>
          <w:szCs w:val="24"/>
        </w:rPr>
        <w:t>2027年推荐优秀应届本科毕业生免试攻读研究生实施办法》执行。</w:t>
      </w:r>
    </w:p>
    <w:p w14:paraId="63F47378">
      <w:pPr>
        <w:spacing w:before="78" w:line="360" w:lineRule="auto"/>
        <w:outlineLvl w:val="1"/>
        <w:rPr>
          <w:rFonts w:ascii="Times New Roman" w:hAnsi="Times New Roman" w:eastAsia="仿宋" w:cs="Times New Roman"/>
          <w:b/>
          <w:bCs/>
          <w:spacing w:val="-4"/>
          <w:sz w:val="24"/>
          <w:szCs w:val="24"/>
        </w:rPr>
      </w:pPr>
      <w:r>
        <w:rPr>
          <w:rFonts w:ascii="Times New Roman" w:hAnsi="Times New Roman" w:eastAsia="仿宋" w:cs="Times New Roman"/>
          <w:b/>
          <w:bCs/>
          <w:spacing w:val="-3"/>
          <w:sz w:val="24"/>
          <w:szCs w:val="24"/>
        </w:rPr>
        <w:t>五、</w:t>
      </w:r>
      <w:r>
        <w:rPr>
          <w:rFonts w:ascii="Times New Roman" w:hAnsi="Times New Roman" w:eastAsia="仿宋" w:cs="Times New Roman"/>
          <w:b/>
          <w:bCs/>
          <w:spacing w:val="-4"/>
          <w:sz w:val="24"/>
          <w:szCs w:val="24"/>
        </w:rPr>
        <w:t>名额分配方案</w:t>
      </w:r>
    </w:p>
    <w:p w14:paraId="2A2FC38D">
      <w:pPr>
        <w:spacing w:before="78" w:line="360" w:lineRule="auto"/>
        <w:ind w:firstLine="464" w:firstLineChars="200"/>
        <w:outlineLvl w:val="1"/>
        <w:rPr>
          <w:rFonts w:ascii="Times New Roman" w:hAnsi="Times New Roman" w:eastAsia="仿宋" w:cs="Times New Roman"/>
          <w:spacing w:val="-4"/>
          <w:sz w:val="24"/>
          <w:szCs w:val="24"/>
        </w:rPr>
      </w:pPr>
      <w:r>
        <w:rPr>
          <w:rFonts w:ascii="Times New Roman" w:hAnsi="Times New Roman" w:eastAsia="仿宋" w:cs="Times New Roman"/>
          <w:spacing w:val="-4"/>
          <w:sz w:val="24"/>
          <w:szCs w:val="24"/>
        </w:rPr>
        <w:t>为突出服务国家战略，选拔培养高层次急需人才，根据学校推免工作部署，化学与化工学院推免分为</w:t>
      </w:r>
      <w:r>
        <w:rPr>
          <w:rFonts w:hint="eastAsia" w:ascii="Times New Roman" w:hAnsi="Times New Roman" w:eastAsia="仿宋" w:cs="Times New Roman"/>
          <w:spacing w:val="-4"/>
          <w:sz w:val="24"/>
          <w:szCs w:val="24"/>
        </w:rPr>
        <w:t>四</w:t>
      </w:r>
      <w:r>
        <w:rPr>
          <w:rFonts w:ascii="Times New Roman" w:hAnsi="Times New Roman" w:eastAsia="仿宋" w:cs="Times New Roman"/>
          <w:spacing w:val="-4"/>
          <w:sz w:val="24"/>
          <w:szCs w:val="24"/>
        </w:rPr>
        <w:t>类通道：国家工程硕博士专项（简称：A通道</w:t>
      </w:r>
      <w:r>
        <w:rPr>
          <w:rFonts w:hint="eastAsia" w:ascii="Times New Roman" w:hAnsi="Times New Roman" w:eastAsia="仿宋" w:cs="Times New Roman"/>
          <w:spacing w:val="-4"/>
          <w:sz w:val="24"/>
          <w:szCs w:val="24"/>
        </w:rPr>
        <w:t>，材料与化工专业硕士</w:t>
      </w:r>
      <w:r>
        <w:rPr>
          <w:rFonts w:ascii="Times New Roman" w:hAnsi="Times New Roman" w:eastAsia="仿宋" w:cs="Times New Roman"/>
          <w:spacing w:val="-4"/>
          <w:sz w:val="24"/>
          <w:szCs w:val="24"/>
        </w:rPr>
        <w:t>）、</w:t>
      </w:r>
      <w:r>
        <w:rPr>
          <w:rFonts w:hint="eastAsia" w:ascii="Times New Roman" w:hAnsi="Times New Roman" w:eastAsia="仿宋" w:cs="Times New Roman"/>
          <w:spacing w:val="-4"/>
          <w:sz w:val="24"/>
          <w:szCs w:val="24"/>
        </w:rPr>
        <w:t>上海市快速响应专项（</w:t>
      </w:r>
      <w:r>
        <w:rPr>
          <w:rFonts w:ascii="Times New Roman" w:hAnsi="Times New Roman" w:eastAsia="仿宋" w:cs="Times New Roman"/>
          <w:spacing w:val="-4"/>
          <w:sz w:val="24"/>
          <w:szCs w:val="24"/>
        </w:rPr>
        <w:t>简称：B通道</w:t>
      </w:r>
      <w:r>
        <w:rPr>
          <w:rFonts w:hint="eastAsia" w:ascii="Times New Roman" w:hAnsi="Times New Roman" w:eastAsia="仿宋" w:cs="Times New Roman"/>
          <w:spacing w:val="-4"/>
          <w:sz w:val="24"/>
          <w:szCs w:val="24"/>
        </w:rPr>
        <w:t>，2年制生物与医药专业硕士）、学校</w:t>
      </w:r>
      <w:r>
        <w:rPr>
          <w:rFonts w:ascii="Times New Roman" w:hAnsi="Times New Roman" w:eastAsia="仿宋" w:cs="Times New Roman"/>
          <w:spacing w:val="-4"/>
          <w:sz w:val="24"/>
          <w:szCs w:val="24"/>
        </w:rPr>
        <w:t>直博专项（简称：C通道</w:t>
      </w:r>
      <w:r>
        <w:rPr>
          <w:rFonts w:hint="eastAsia" w:ascii="Times New Roman" w:hAnsi="Times New Roman" w:eastAsia="仿宋" w:cs="Times New Roman"/>
          <w:spacing w:val="-4"/>
          <w:sz w:val="24"/>
          <w:szCs w:val="24"/>
        </w:rPr>
        <w:t>，分为：C</w:t>
      </w:r>
      <w:r>
        <w:rPr>
          <w:rFonts w:ascii="Times New Roman" w:hAnsi="Times New Roman" w:eastAsia="仿宋" w:cs="Times New Roman"/>
          <w:spacing w:val="-4"/>
          <w:sz w:val="24"/>
          <w:szCs w:val="24"/>
        </w:rPr>
        <w:t>1</w:t>
      </w:r>
      <w:r>
        <w:rPr>
          <w:rFonts w:hint="eastAsia" w:ascii="Times New Roman" w:hAnsi="Times New Roman" w:eastAsia="仿宋" w:cs="Times New Roman"/>
          <w:spacing w:val="-4"/>
          <w:sz w:val="24"/>
          <w:szCs w:val="24"/>
        </w:rPr>
        <w:t>化学专业博士和C</w:t>
      </w:r>
      <w:r>
        <w:rPr>
          <w:rFonts w:ascii="Times New Roman" w:hAnsi="Times New Roman" w:eastAsia="仿宋" w:cs="Times New Roman"/>
          <w:spacing w:val="-4"/>
          <w:sz w:val="24"/>
          <w:szCs w:val="24"/>
        </w:rPr>
        <w:t>2</w:t>
      </w:r>
      <w:r>
        <w:rPr>
          <w:rFonts w:hint="eastAsia" w:ascii="Times New Roman" w:hAnsi="Times New Roman" w:eastAsia="仿宋" w:cs="Times New Roman"/>
          <w:spacing w:val="-4"/>
          <w:sz w:val="24"/>
          <w:szCs w:val="24"/>
        </w:rPr>
        <w:t>纺织化学与染整工程博士</w:t>
      </w:r>
      <w:r>
        <w:rPr>
          <w:rFonts w:ascii="Times New Roman" w:hAnsi="Times New Roman" w:eastAsia="仿宋" w:cs="Times New Roman"/>
          <w:spacing w:val="-4"/>
          <w:sz w:val="24"/>
          <w:szCs w:val="24"/>
        </w:rPr>
        <w:t>）和普通推免通道（简称：D通道）。化学与化工学院2027届推免生计划分配总额为39名（A通道1名，</w:t>
      </w:r>
      <w:r>
        <w:rPr>
          <w:rFonts w:hint="eastAsia" w:ascii="Times New Roman" w:hAnsi="Times New Roman" w:eastAsia="仿宋" w:cs="Times New Roman"/>
          <w:spacing w:val="-4"/>
          <w:sz w:val="24"/>
          <w:szCs w:val="24"/>
        </w:rPr>
        <w:t>B通道</w:t>
      </w:r>
      <w:r>
        <w:rPr>
          <w:rFonts w:ascii="Times New Roman" w:hAnsi="Times New Roman" w:eastAsia="仿宋" w:cs="Times New Roman"/>
          <w:spacing w:val="-4"/>
          <w:sz w:val="24"/>
          <w:szCs w:val="24"/>
        </w:rPr>
        <w:t>2名、</w:t>
      </w:r>
      <w:r>
        <w:rPr>
          <w:rFonts w:hint="eastAsia" w:ascii="Times New Roman" w:hAnsi="Times New Roman" w:eastAsia="仿宋" w:cs="Times New Roman"/>
          <w:spacing w:val="-4"/>
          <w:sz w:val="24"/>
          <w:szCs w:val="24"/>
        </w:rPr>
        <w:t>C通道</w:t>
      </w:r>
      <w:r>
        <w:rPr>
          <w:rFonts w:ascii="Times New Roman" w:hAnsi="Times New Roman" w:eastAsia="仿宋" w:cs="Times New Roman"/>
          <w:spacing w:val="-4"/>
          <w:sz w:val="24"/>
          <w:szCs w:val="24"/>
        </w:rPr>
        <w:t>5名</w:t>
      </w:r>
      <w:r>
        <w:rPr>
          <w:rFonts w:hint="eastAsia" w:ascii="Times New Roman" w:hAnsi="Times New Roman" w:eastAsia="仿宋" w:cs="Times New Roman"/>
          <w:spacing w:val="-4"/>
          <w:sz w:val="24"/>
          <w:szCs w:val="24"/>
        </w:rPr>
        <w:t>、D通道3</w:t>
      </w:r>
      <w:r>
        <w:rPr>
          <w:rFonts w:ascii="Times New Roman" w:hAnsi="Times New Roman" w:eastAsia="仿宋" w:cs="Times New Roman"/>
          <w:spacing w:val="-4"/>
          <w:sz w:val="24"/>
          <w:szCs w:val="24"/>
        </w:rPr>
        <w:t>1</w:t>
      </w:r>
      <w:r>
        <w:rPr>
          <w:rFonts w:hint="eastAsia" w:ascii="Times New Roman" w:hAnsi="Times New Roman" w:eastAsia="仿宋" w:cs="Times New Roman"/>
          <w:spacing w:val="-4"/>
          <w:sz w:val="24"/>
          <w:szCs w:val="24"/>
        </w:rPr>
        <w:t>名</w:t>
      </w:r>
      <w:r>
        <w:rPr>
          <w:rFonts w:ascii="Times New Roman" w:hAnsi="Times New Roman" w:eastAsia="仿宋" w:cs="Times New Roman"/>
          <w:spacing w:val="-4"/>
          <w:sz w:val="24"/>
          <w:szCs w:val="24"/>
        </w:rPr>
        <w:t>）。根据</w:t>
      </w:r>
      <w:r>
        <w:rPr>
          <w:rFonts w:ascii="Times New Roman" w:hAnsi="Times New Roman" w:eastAsia="仿宋" w:cs="Times New Roman"/>
          <w:sz w:val="24"/>
          <w:szCs w:val="24"/>
        </w:rPr>
        <w:t>《</w:t>
      </w:r>
      <w:r>
        <w:rPr>
          <w:rFonts w:hint="eastAsia" w:ascii="Times New Roman" w:hAnsi="Times New Roman" w:eastAsia="仿宋" w:cs="Times New Roman"/>
          <w:sz w:val="24"/>
          <w:szCs w:val="24"/>
        </w:rPr>
        <w:t>东华大学</w:t>
      </w:r>
      <w:r>
        <w:rPr>
          <w:rFonts w:ascii="Times New Roman" w:hAnsi="Times New Roman" w:eastAsia="仿宋" w:cs="Times New Roman"/>
          <w:sz w:val="24"/>
          <w:szCs w:val="24"/>
        </w:rPr>
        <w:t>2027年推荐优秀应届本科毕业生免试攻读研究生实施办法》</w:t>
      </w:r>
      <w:r>
        <w:rPr>
          <w:rFonts w:ascii="Times New Roman" w:hAnsi="Times New Roman" w:eastAsia="仿宋" w:cs="Times New Roman"/>
          <w:spacing w:val="-4"/>
          <w:sz w:val="24"/>
          <w:szCs w:val="24"/>
        </w:rPr>
        <w:t>等相关文件精神，综合各专业毕业生人数、学习能力、创新能力及学科发展等实际情况，经学院推免生推荐工作领导小组集体讨论，2027届本科生推免名额分配方案：</w:t>
      </w:r>
    </w:p>
    <w:tbl>
      <w:tblPr>
        <w:tblStyle w:val="8"/>
        <w:tblW w:w="5000" w:type="pct"/>
        <w:tblInd w:w="0" w:type="dxa"/>
        <w:tblLayout w:type="autofit"/>
        <w:tblCellMar>
          <w:top w:w="0" w:type="dxa"/>
          <w:left w:w="108" w:type="dxa"/>
          <w:bottom w:w="0" w:type="dxa"/>
          <w:right w:w="108" w:type="dxa"/>
        </w:tblCellMar>
      </w:tblPr>
      <w:tblGrid>
        <w:gridCol w:w="616"/>
        <w:gridCol w:w="2645"/>
        <w:gridCol w:w="1277"/>
        <w:gridCol w:w="1297"/>
        <w:gridCol w:w="2471"/>
      </w:tblGrid>
      <w:tr w14:paraId="7614822C">
        <w:tblPrEx>
          <w:tblCellMar>
            <w:top w:w="0" w:type="dxa"/>
            <w:left w:w="108" w:type="dxa"/>
            <w:bottom w:w="0" w:type="dxa"/>
            <w:right w:w="108" w:type="dxa"/>
          </w:tblCellMar>
        </w:tblPrEx>
        <w:trPr>
          <w:trHeight w:val="290" w:hRule="atLeast"/>
        </w:trPr>
        <w:tc>
          <w:tcPr>
            <w:tcW w:w="371" w:type="pct"/>
            <w:tcBorders>
              <w:top w:val="single" w:color="000000" w:sz="8" w:space="0"/>
              <w:left w:val="single" w:color="000000" w:sz="8" w:space="0"/>
              <w:bottom w:val="single" w:color="000000" w:sz="8" w:space="0"/>
              <w:right w:val="single" w:color="000000" w:sz="8" w:space="0"/>
            </w:tcBorders>
            <w:noWrap/>
            <w:vAlign w:val="center"/>
          </w:tcPr>
          <w:p w14:paraId="49FD9D69">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序号</w:t>
            </w:r>
          </w:p>
        </w:tc>
        <w:tc>
          <w:tcPr>
            <w:tcW w:w="1592" w:type="pct"/>
            <w:tcBorders>
              <w:top w:val="single" w:color="000000" w:sz="8" w:space="0"/>
              <w:left w:val="nil"/>
              <w:bottom w:val="single" w:color="000000" w:sz="8" w:space="0"/>
              <w:right w:val="single" w:color="000000" w:sz="8" w:space="0"/>
            </w:tcBorders>
            <w:shd w:val="clear" w:color="000000" w:fill="FFFFFF"/>
            <w:noWrap/>
            <w:vAlign w:val="center"/>
          </w:tcPr>
          <w:p w14:paraId="218C98D7">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通道类别</w:t>
            </w:r>
          </w:p>
        </w:tc>
        <w:tc>
          <w:tcPr>
            <w:tcW w:w="769" w:type="pct"/>
            <w:tcBorders>
              <w:top w:val="single" w:color="000000" w:sz="8" w:space="0"/>
              <w:left w:val="nil"/>
              <w:bottom w:val="single" w:color="000000" w:sz="8" w:space="0"/>
              <w:right w:val="single" w:color="000000" w:sz="8" w:space="0"/>
            </w:tcBorders>
            <w:shd w:val="clear" w:color="000000" w:fill="FFFFFF"/>
            <w:noWrap/>
            <w:vAlign w:val="center"/>
          </w:tcPr>
          <w:p w14:paraId="29D045D3">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推免生名额</w:t>
            </w:r>
          </w:p>
        </w:tc>
        <w:tc>
          <w:tcPr>
            <w:tcW w:w="781" w:type="pct"/>
            <w:tcBorders>
              <w:top w:val="single" w:color="000000" w:sz="8" w:space="0"/>
              <w:left w:val="nil"/>
              <w:bottom w:val="single" w:color="000000" w:sz="8" w:space="0"/>
              <w:right w:val="single" w:color="000000" w:sz="8" w:space="0"/>
            </w:tcBorders>
            <w:shd w:val="clear" w:color="000000" w:fill="FFFFFF"/>
            <w:noWrap/>
            <w:vAlign w:val="center"/>
          </w:tcPr>
          <w:p w14:paraId="361381B3">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推免生</w:t>
            </w:r>
          </w:p>
          <w:p w14:paraId="256385E6">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候补名额</w:t>
            </w:r>
          </w:p>
        </w:tc>
        <w:tc>
          <w:tcPr>
            <w:tcW w:w="1488" w:type="pct"/>
            <w:tcBorders>
              <w:top w:val="single" w:color="000000" w:sz="8" w:space="0"/>
              <w:left w:val="nil"/>
              <w:bottom w:val="single" w:color="000000" w:sz="8" w:space="0"/>
              <w:right w:val="single" w:color="000000" w:sz="8" w:space="0"/>
            </w:tcBorders>
            <w:shd w:val="clear" w:color="000000" w:fill="FFFFFF"/>
          </w:tcPr>
          <w:p w14:paraId="5B169F5D">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备注</w:t>
            </w:r>
          </w:p>
        </w:tc>
      </w:tr>
      <w:tr w14:paraId="3F9A16BD">
        <w:tblPrEx>
          <w:tblCellMar>
            <w:top w:w="0" w:type="dxa"/>
            <w:left w:w="108" w:type="dxa"/>
            <w:bottom w:w="0" w:type="dxa"/>
            <w:right w:w="108" w:type="dxa"/>
          </w:tblCellMar>
        </w:tblPrEx>
        <w:trPr>
          <w:trHeight w:val="290" w:hRule="atLeast"/>
        </w:trPr>
        <w:tc>
          <w:tcPr>
            <w:tcW w:w="371" w:type="pct"/>
            <w:tcBorders>
              <w:top w:val="nil"/>
              <w:left w:val="single" w:color="000000" w:sz="8" w:space="0"/>
              <w:bottom w:val="single" w:color="000000" w:sz="8" w:space="0"/>
              <w:right w:val="single" w:color="000000" w:sz="8" w:space="0"/>
            </w:tcBorders>
            <w:shd w:val="clear" w:color="000000" w:fill="FFFFFF"/>
            <w:noWrap/>
            <w:vAlign w:val="center"/>
          </w:tcPr>
          <w:p w14:paraId="0BD2C5FA">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1</w:t>
            </w:r>
          </w:p>
        </w:tc>
        <w:tc>
          <w:tcPr>
            <w:tcW w:w="1592" w:type="pct"/>
            <w:tcBorders>
              <w:top w:val="nil"/>
              <w:left w:val="nil"/>
              <w:bottom w:val="single" w:color="000000" w:sz="8" w:space="0"/>
              <w:right w:val="single" w:color="000000" w:sz="8" w:space="0"/>
            </w:tcBorders>
            <w:shd w:val="clear" w:color="000000" w:fill="FFFFFF"/>
            <w:noWrap/>
            <w:vAlign w:val="center"/>
          </w:tcPr>
          <w:p w14:paraId="0636F32E">
            <w:pPr>
              <w:jc w:val="center"/>
              <w:rPr>
                <w:rFonts w:hint="eastAsia" w:ascii="仿宋" w:hAnsi="仿宋" w:eastAsia="仿宋" w:cs="Times New Roman"/>
                <w:spacing w:val="-6"/>
                <w:szCs w:val="21"/>
              </w:rPr>
            </w:pPr>
            <w:r>
              <w:rPr>
                <w:rFonts w:hint="eastAsia" w:ascii="仿宋" w:hAnsi="仿宋" w:eastAsia="仿宋" w:cs="Times New Roman"/>
                <w:spacing w:val="-6"/>
                <w:szCs w:val="21"/>
              </w:rPr>
              <w:t>国家工程硕博士专项</w:t>
            </w:r>
          </w:p>
          <w:p w14:paraId="3001C231">
            <w:pPr>
              <w:jc w:val="center"/>
              <w:rPr>
                <w:rFonts w:hint="eastAsia" w:ascii="仿宋" w:hAnsi="仿宋" w:eastAsia="仿宋" w:cs="Times New Roman"/>
                <w:spacing w:val="-6"/>
                <w:szCs w:val="21"/>
              </w:rPr>
            </w:pPr>
            <w:r>
              <w:rPr>
                <w:rFonts w:hint="eastAsia" w:ascii="仿宋" w:hAnsi="仿宋" w:eastAsia="仿宋" w:cs="Times New Roman"/>
                <w:spacing w:val="-6"/>
                <w:szCs w:val="21"/>
              </w:rPr>
              <w:t>（A通道）</w:t>
            </w:r>
          </w:p>
        </w:tc>
        <w:tc>
          <w:tcPr>
            <w:tcW w:w="769" w:type="pct"/>
            <w:tcBorders>
              <w:top w:val="nil"/>
              <w:left w:val="nil"/>
              <w:bottom w:val="single" w:color="000000" w:sz="8" w:space="0"/>
              <w:right w:val="single" w:color="000000" w:sz="8" w:space="0"/>
            </w:tcBorders>
            <w:shd w:val="clear" w:color="000000" w:fill="FFFFFF"/>
            <w:noWrap/>
            <w:vAlign w:val="center"/>
          </w:tcPr>
          <w:p w14:paraId="4E839862">
            <w:pPr>
              <w:jc w:val="center"/>
              <w:rPr>
                <w:rFonts w:hint="eastAsia" w:ascii="仿宋" w:hAnsi="仿宋" w:eastAsia="仿宋" w:cs="Times New Roman"/>
                <w:spacing w:val="-6"/>
                <w:szCs w:val="21"/>
              </w:rPr>
            </w:pPr>
            <w:r>
              <w:rPr>
                <w:rFonts w:ascii="仿宋" w:hAnsi="仿宋" w:eastAsia="仿宋" w:cs="Times New Roman"/>
                <w:spacing w:val="-6"/>
                <w:szCs w:val="21"/>
              </w:rPr>
              <w:t>1</w:t>
            </w:r>
          </w:p>
        </w:tc>
        <w:tc>
          <w:tcPr>
            <w:tcW w:w="781" w:type="pct"/>
            <w:tcBorders>
              <w:top w:val="nil"/>
              <w:left w:val="nil"/>
              <w:bottom w:val="single" w:color="000000" w:sz="8" w:space="0"/>
              <w:right w:val="single" w:color="000000" w:sz="8" w:space="0"/>
            </w:tcBorders>
            <w:shd w:val="clear" w:color="000000" w:fill="FFFFFF"/>
            <w:noWrap/>
            <w:vAlign w:val="center"/>
          </w:tcPr>
          <w:p w14:paraId="2979C57D">
            <w:pPr>
              <w:jc w:val="center"/>
              <w:rPr>
                <w:rFonts w:hint="eastAsia" w:ascii="仿宋" w:hAnsi="仿宋" w:eastAsia="仿宋" w:cs="Times New Roman"/>
                <w:spacing w:val="-6"/>
                <w:szCs w:val="21"/>
              </w:rPr>
            </w:pPr>
            <w:r>
              <w:rPr>
                <w:rFonts w:ascii="仿宋" w:hAnsi="仿宋" w:eastAsia="仿宋" w:cs="Times New Roman"/>
                <w:spacing w:val="-6"/>
                <w:szCs w:val="21"/>
              </w:rPr>
              <w:t>1</w:t>
            </w:r>
          </w:p>
        </w:tc>
        <w:tc>
          <w:tcPr>
            <w:tcW w:w="1488" w:type="pct"/>
            <w:tcBorders>
              <w:top w:val="nil"/>
              <w:left w:val="nil"/>
              <w:bottom w:val="single" w:color="000000" w:sz="8" w:space="0"/>
              <w:right w:val="single" w:color="000000" w:sz="8" w:space="0"/>
            </w:tcBorders>
            <w:shd w:val="clear" w:color="000000" w:fill="FFFFFF"/>
          </w:tcPr>
          <w:p w14:paraId="45FE51C1">
            <w:pPr>
              <w:jc w:val="center"/>
              <w:rPr>
                <w:rFonts w:hint="eastAsia" w:ascii="仿宋" w:hAnsi="仿宋" w:eastAsia="仿宋" w:cs="Times New Roman"/>
                <w:spacing w:val="-6"/>
                <w:szCs w:val="21"/>
              </w:rPr>
            </w:pPr>
            <w:r>
              <w:rPr>
                <w:rFonts w:ascii="仿宋" w:hAnsi="仿宋" w:eastAsia="仿宋" w:cs="Times New Roman"/>
                <w:spacing w:val="-6"/>
                <w:szCs w:val="21"/>
              </w:rPr>
              <w:t>不区分专业，按综合</w:t>
            </w:r>
            <w:bookmarkStart w:id="1" w:name="OLE_LINK1"/>
            <w:r>
              <w:rPr>
                <w:rFonts w:hint="eastAsia" w:ascii="仿宋" w:hAnsi="仿宋" w:eastAsia="仿宋" w:cs="Times New Roman"/>
                <w:spacing w:val="-6"/>
                <w:szCs w:val="21"/>
              </w:rPr>
              <w:t>评分</w:t>
            </w:r>
            <w:bookmarkEnd w:id="1"/>
            <w:r>
              <w:rPr>
                <w:rFonts w:ascii="仿宋" w:hAnsi="仿宋" w:eastAsia="仿宋" w:cs="Times New Roman"/>
                <w:spacing w:val="-6"/>
                <w:szCs w:val="21"/>
              </w:rPr>
              <w:t>排名推荐</w:t>
            </w:r>
          </w:p>
        </w:tc>
      </w:tr>
      <w:tr w14:paraId="1CDA114F">
        <w:tblPrEx>
          <w:tblCellMar>
            <w:top w:w="0" w:type="dxa"/>
            <w:left w:w="108" w:type="dxa"/>
            <w:bottom w:w="0" w:type="dxa"/>
            <w:right w:w="108" w:type="dxa"/>
          </w:tblCellMar>
        </w:tblPrEx>
        <w:trPr>
          <w:trHeight w:val="290" w:hRule="atLeast"/>
        </w:trPr>
        <w:tc>
          <w:tcPr>
            <w:tcW w:w="371" w:type="pct"/>
            <w:tcBorders>
              <w:top w:val="nil"/>
              <w:left w:val="single" w:color="000000" w:sz="8" w:space="0"/>
              <w:bottom w:val="single" w:color="000000" w:sz="8" w:space="0"/>
              <w:right w:val="single" w:color="000000" w:sz="8" w:space="0"/>
            </w:tcBorders>
            <w:shd w:val="clear" w:color="000000" w:fill="FFFFFF"/>
            <w:noWrap/>
            <w:vAlign w:val="center"/>
          </w:tcPr>
          <w:p w14:paraId="13955C8C">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2</w:t>
            </w:r>
          </w:p>
        </w:tc>
        <w:tc>
          <w:tcPr>
            <w:tcW w:w="1592" w:type="pct"/>
            <w:tcBorders>
              <w:top w:val="nil"/>
              <w:left w:val="nil"/>
              <w:bottom w:val="single" w:color="000000" w:sz="8" w:space="0"/>
              <w:right w:val="single" w:color="000000" w:sz="8" w:space="0"/>
            </w:tcBorders>
            <w:shd w:val="clear" w:color="000000" w:fill="FFFFFF"/>
            <w:noWrap/>
            <w:vAlign w:val="center"/>
          </w:tcPr>
          <w:p w14:paraId="0EAF7590">
            <w:pPr>
              <w:jc w:val="center"/>
              <w:rPr>
                <w:rFonts w:hint="eastAsia" w:ascii="仿宋" w:hAnsi="仿宋" w:eastAsia="仿宋" w:cs="Times New Roman"/>
                <w:spacing w:val="-6"/>
                <w:szCs w:val="21"/>
              </w:rPr>
            </w:pPr>
            <w:r>
              <w:rPr>
                <w:rFonts w:hint="eastAsia" w:ascii="仿宋" w:hAnsi="仿宋" w:eastAsia="仿宋" w:cs="Times New Roman"/>
                <w:spacing w:val="-6"/>
                <w:szCs w:val="21"/>
              </w:rPr>
              <w:t>上海市快速响应专项</w:t>
            </w:r>
          </w:p>
          <w:p w14:paraId="640C1B15">
            <w:pPr>
              <w:jc w:val="center"/>
              <w:rPr>
                <w:rFonts w:hint="eastAsia" w:ascii="仿宋" w:hAnsi="仿宋" w:eastAsia="仿宋" w:cs="Times New Roman"/>
                <w:spacing w:val="-6"/>
                <w:szCs w:val="21"/>
              </w:rPr>
            </w:pPr>
            <w:r>
              <w:rPr>
                <w:rFonts w:hint="eastAsia" w:ascii="仿宋" w:hAnsi="仿宋" w:eastAsia="仿宋" w:cs="Times New Roman"/>
                <w:spacing w:val="-6"/>
                <w:szCs w:val="21"/>
              </w:rPr>
              <w:t>（</w:t>
            </w:r>
            <w:r>
              <w:rPr>
                <w:rFonts w:ascii="仿宋" w:hAnsi="仿宋" w:eastAsia="仿宋" w:cs="Times New Roman"/>
                <w:spacing w:val="-6"/>
                <w:szCs w:val="21"/>
              </w:rPr>
              <w:t>B</w:t>
            </w:r>
            <w:r>
              <w:rPr>
                <w:rFonts w:hint="eastAsia" w:ascii="仿宋" w:hAnsi="仿宋" w:eastAsia="仿宋" w:cs="Times New Roman"/>
                <w:spacing w:val="-6"/>
                <w:szCs w:val="21"/>
              </w:rPr>
              <w:t>通道）</w:t>
            </w:r>
          </w:p>
        </w:tc>
        <w:tc>
          <w:tcPr>
            <w:tcW w:w="769" w:type="pct"/>
            <w:tcBorders>
              <w:top w:val="nil"/>
              <w:left w:val="nil"/>
              <w:bottom w:val="single" w:color="000000" w:sz="8" w:space="0"/>
              <w:right w:val="single" w:color="000000" w:sz="8" w:space="0"/>
            </w:tcBorders>
            <w:shd w:val="clear" w:color="000000" w:fill="FFFFFF"/>
            <w:noWrap/>
            <w:vAlign w:val="center"/>
          </w:tcPr>
          <w:p w14:paraId="3F77E59F">
            <w:pPr>
              <w:jc w:val="center"/>
              <w:rPr>
                <w:rFonts w:hint="eastAsia" w:ascii="仿宋" w:hAnsi="仿宋" w:eastAsia="仿宋" w:cs="Times New Roman"/>
                <w:spacing w:val="-6"/>
                <w:szCs w:val="21"/>
              </w:rPr>
            </w:pPr>
            <w:r>
              <w:rPr>
                <w:rFonts w:ascii="仿宋" w:hAnsi="仿宋" w:eastAsia="仿宋" w:cs="Times New Roman"/>
                <w:spacing w:val="-6"/>
                <w:szCs w:val="21"/>
              </w:rPr>
              <w:t>2</w:t>
            </w:r>
          </w:p>
        </w:tc>
        <w:tc>
          <w:tcPr>
            <w:tcW w:w="781" w:type="pct"/>
            <w:tcBorders>
              <w:top w:val="nil"/>
              <w:left w:val="nil"/>
              <w:bottom w:val="single" w:color="000000" w:sz="8" w:space="0"/>
              <w:right w:val="single" w:color="000000" w:sz="8" w:space="0"/>
            </w:tcBorders>
            <w:shd w:val="clear" w:color="000000" w:fill="FFFFFF"/>
            <w:noWrap/>
            <w:vAlign w:val="center"/>
          </w:tcPr>
          <w:p w14:paraId="75B0DB4D">
            <w:pPr>
              <w:jc w:val="center"/>
              <w:rPr>
                <w:rFonts w:hint="eastAsia" w:ascii="仿宋" w:hAnsi="仿宋" w:eastAsia="仿宋" w:cs="Times New Roman"/>
                <w:spacing w:val="-6"/>
                <w:szCs w:val="21"/>
              </w:rPr>
            </w:pPr>
            <w:r>
              <w:rPr>
                <w:rFonts w:ascii="仿宋" w:hAnsi="仿宋" w:eastAsia="仿宋" w:cs="Times New Roman"/>
                <w:spacing w:val="-6"/>
                <w:szCs w:val="21"/>
              </w:rPr>
              <w:t>2</w:t>
            </w:r>
          </w:p>
        </w:tc>
        <w:tc>
          <w:tcPr>
            <w:tcW w:w="1488" w:type="pct"/>
            <w:tcBorders>
              <w:top w:val="nil"/>
              <w:left w:val="nil"/>
              <w:bottom w:val="single" w:color="000000" w:sz="8" w:space="0"/>
              <w:right w:val="single" w:color="000000" w:sz="8" w:space="0"/>
            </w:tcBorders>
            <w:shd w:val="clear" w:color="000000" w:fill="FFFFFF"/>
          </w:tcPr>
          <w:p w14:paraId="5394DB1C">
            <w:pPr>
              <w:jc w:val="center"/>
              <w:rPr>
                <w:rFonts w:hint="eastAsia" w:ascii="仿宋" w:hAnsi="仿宋" w:eastAsia="仿宋" w:cs="Times New Roman"/>
                <w:spacing w:val="-6"/>
                <w:szCs w:val="21"/>
              </w:rPr>
            </w:pPr>
            <w:r>
              <w:rPr>
                <w:rFonts w:ascii="仿宋" w:hAnsi="仿宋" w:eastAsia="仿宋" w:cs="Times New Roman"/>
                <w:spacing w:val="-6"/>
                <w:szCs w:val="21"/>
              </w:rPr>
              <w:t>不区分专业，按综合</w:t>
            </w:r>
            <w:r>
              <w:rPr>
                <w:rFonts w:hint="eastAsia" w:ascii="仿宋" w:hAnsi="仿宋" w:eastAsia="仿宋" w:cs="Times New Roman"/>
                <w:spacing w:val="-6"/>
                <w:szCs w:val="21"/>
              </w:rPr>
              <w:t>评分</w:t>
            </w:r>
            <w:r>
              <w:rPr>
                <w:rFonts w:ascii="仿宋" w:hAnsi="仿宋" w:eastAsia="仿宋" w:cs="Times New Roman"/>
                <w:spacing w:val="-6"/>
                <w:szCs w:val="21"/>
              </w:rPr>
              <w:t>排名推荐</w:t>
            </w:r>
          </w:p>
        </w:tc>
      </w:tr>
      <w:tr w14:paraId="4DFC5891">
        <w:tblPrEx>
          <w:tblCellMar>
            <w:top w:w="0" w:type="dxa"/>
            <w:left w:w="108" w:type="dxa"/>
            <w:bottom w:w="0" w:type="dxa"/>
            <w:right w:w="108" w:type="dxa"/>
          </w:tblCellMar>
        </w:tblPrEx>
        <w:trPr>
          <w:trHeight w:val="268" w:hRule="atLeast"/>
        </w:trPr>
        <w:tc>
          <w:tcPr>
            <w:tcW w:w="371" w:type="pct"/>
            <w:vMerge w:val="restart"/>
            <w:tcBorders>
              <w:top w:val="nil"/>
              <w:left w:val="single" w:color="000000" w:sz="8" w:space="0"/>
              <w:right w:val="single" w:color="000000" w:sz="8" w:space="0"/>
            </w:tcBorders>
            <w:shd w:val="clear" w:color="000000" w:fill="FFFFFF"/>
            <w:noWrap/>
            <w:vAlign w:val="center"/>
          </w:tcPr>
          <w:p w14:paraId="19533D55">
            <w:pPr>
              <w:spacing w:line="360" w:lineRule="auto"/>
              <w:jc w:val="center"/>
              <w:rPr>
                <w:rFonts w:hint="eastAsia" w:ascii="仿宋" w:hAnsi="仿宋" w:eastAsia="仿宋" w:cs="Times New Roman"/>
                <w:spacing w:val="-6"/>
                <w:szCs w:val="21"/>
              </w:rPr>
            </w:pPr>
            <w:r>
              <w:rPr>
                <w:rFonts w:hint="eastAsia" w:ascii="仿宋" w:hAnsi="仿宋" w:eastAsia="仿宋" w:cs="Times New Roman"/>
                <w:spacing w:val="-6"/>
                <w:szCs w:val="21"/>
              </w:rPr>
              <w:t>3</w:t>
            </w:r>
          </w:p>
        </w:tc>
        <w:tc>
          <w:tcPr>
            <w:tcW w:w="1592" w:type="pct"/>
            <w:vMerge w:val="restart"/>
            <w:tcBorders>
              <w:top w:val="nil"/>
              <w:left w:val="nil"/>
              <w:right w:val="single" w:color="000000" w:sz="8" w:space="0"/>
            </w:tcBorders>
            <w:shd w:val="clear" w:color="000000" w:fill="FFFFFF"/>
            <w:noWrap/>
            <w:vAlign w:val="center"/>
          </w:tcPr>
          <w:p w14:paraId="04F8E24E">
            <w:pPr>
              <w:jc w:val="center"/>
              <w:rPr>
                <w:rFonts w:hint="eastAsia" w:ascii="仿宋" w:hAnsi="仿宋" w:eastAsia="仿宋" w:cs="Times New Roman"/>
                <w:spacing w:val="-6"/>
                <w:szCs w:val="21"/>
              </w:rPr>
            </w:pPr>
            <w:r>
              <w:rPr>
                <w:rFonts w:hint="eastAsia" w:ascii="仿宋" w:hAnsi="仿宋" w:eastAsia="仿宋" w:cs="Times New Roman"/>
                <w:spacing w:val="-6"/>
                <w:szCs w:val="21"/>
              </w:rPr>
              <w:t>学校直博专项</w:t>
            </w:r>
          </w:p>
          <w:p w14:paraId="2964A678">
            <w:pPr>
              <w:jc w:val="center"/>
              <w:rPr>
                <w:rFonts w:hint="eastAsia" w:ascii="仿宋" w:hAnsi="仿宋" w:eastAsia="仿宋" w:cs="Times New Roman"/>
                <w:spacing w:val="-6"/>
                <w:szCs w:val="21"/>
              </w:rPr>
            </w:pPr>
            <w:r>
              <w:rPr>
                <w:rFonts w:hint="eastAsia" w:ascii="仿宋" w:hAnsi="仿宋" w:eastAsia="仿宋" w:cs="Times New Roman"/>
                <w:spacing w:val="-6"/>
                <w:szCs w:val="21"/>
              </w:rPr>
              <w:t>（C通道）</w:t>
            </w:r>
          </w:p>
        </w:tc>
        <w:tc>
          <w:tcPr>
            <w:tcW w:w="769" w:type="pct"/>
            <w:tcBorders>
              <w:top w:val="nil"/>
              <w:left w:val="nil"/>
              <w:bottom w:val="single" w:color="000000" w:sz="8" w:space="0"/>
              <w:right w:val="single" w:color="000000" w:sz="8" w:space="0"/>
            </w:tcBorders>
            <w:shd w:val="clear" w:color="000000" w:fill="FFFFFF"/>
            <w:noWrap/>
            <w:vAlign w:val="center"/>
          </w:tcPr>
          <w:p w14:paraId="1553131A">
            <w:pPr>
              <w:jc w:val="center"/>
              <w:rPr>
                <w:rFonts w:hint="eastAsia" w:ascii="仿宋" w:hAnsi="仿宋" w:eastAsia="仿宋" w:cs="Times New Roman"/>
                <w:spacing w:val="-6"/>
                <w:szCs w:val="21"/>
              </w:rPr>
            </w:pPr>
            <w:r>
              <w:rPr>
                <w:rFonts w:hint="eastAsia" w:ascii="仿宋" w:hAnsi="仿宋" w:eastAsia="仿宋" w:cs="Times New Roman"/>
                <w:spacing w:val="-6"/>
                <w:szCs w:val="21"/>
              </w:rPr>
              <w:t>C</w:t>
            </w:r>
            <w:r>
              <w:rPr>
                <w:rFonts w:ascii="仿宋" w:hAnsi="仿宋" w:eastAsia="仿宋" w:cs="Times New Roman"/>
                <w:spacing w:val="-6"/>
                <w:szCs w:val="21"/>
              </w:rPr>
              <w:t>1</w:t>
            </w:r>
            <w:r>
              <w:rPr>
                <w:rFonts w:hint="eastAsia" w:ascii="仿宋" w:hAnsi="仿宋" w:eastAsia="仿宋" w:cs="Times New Roman"/>
                <w:spacing w:val="-6"/>
                <w:szCs w:val="21"/>
              </w:rPr>
              <w:t>：</w:t>
            </w:r>
            <w:r>
              <w:rPr>
                <w:rFonts w:ascii="仿宋" w:hAnsi="仿宋" w:eastAsia="仿宋" w:cs="Times New Roman"/>
                <w:spacing w:val="-6"/>
                <w:szCs w:val="21"/>
              </w:rPr>
              <w:t>3</w:t>
            </w:r>
          </w:p>
        </w:tc>
        <w:tc>
          <w:tcPr>
            <w:tcW w:w="781" w:type="pct"/>
            <w:tcBorders>
              <w:top w:val="single" w:color="000000" w:sz="8" w:space="0"/>
              <w:left w:val="nil"/>
              <w:bottom w:val="single" w:color="000000" w:sz="8" w:space="0"/>
              <w:right w:val="single" w:color="000000" w:sz="8" w:space="0"/>
            </w:tcBorders>
            <w:shd w:val="clear" w:color="000000" w:fill="FFFFFF"/>
            <w:noWrap/>
            <w:vAlign w:val="center"/>
          </w:tcPr>
          <w:p w14:paraId="2F108731">
            <w:pPr>
              <w:jc w:val="center"/>
              <w:rPr>
                <w:rFonts w:hint="eastAsia" w:ascii="仿宋" w:hAnsi="仿宋" w:eastAsia="仿宋" w:cs="Times New Roman"/>
                <w:spacing w:val="-6"/>
                <w:szCs w:val="21"/>
              </w:rPr>
            </w:pPr>
            <w:r>
              <w:rPr>
                <w:rFonts w:hint="eastAsia" w:ascii="仿宋" w:hAnsi="仿宋" w:eastAsia="仿宋" w:cs="Times New Roman"/>
                <w:spacing w:val="-6"/>
                <w:szCs w:val="21"/>
              </w:rPr>
              <w:t>2</w:t>
            </w:r>
          </w:p>
        </w:tc>
        <w:tc>
          <w:tcPr>
            <w:tcW w:w="1488" w:type="pct"/>
            <w:tcBorders>
              <w:top w:val="single" w:color="000000" w:sz="8" w:space="0"/>
              <w:left w:val="nil"/>
              <w:bottom w:val="single" w:color="000000" w:sz="8" w:space="0"/>
              <w:right w:val="single" w:color="000000" w:sz="8" w:space="0"/>
            </w:tcBorders>
            <w:shd w:val="clear" w:color="000000" w:fill="FFFFFF"/>
          </w:tcPr>
          <w:p w14:paraId="281F25DD">
            <w:pPr>
              <w:jc w:val="center"/>
              <w:rPr>
                <w:rFonts w:hint="eastAsia" w:ascii="仿宋" w:hAnsi="仿宋" w:eastAsia="仿宋" w:cs="Times New Roman"/>
                <w:spacing w:val="-6"/>
                <w:szCs w:val="21"/>
              </w:rPr>
            </w:pPr>
            <w:r>
              <w:rPr>
                <w:rFonts w:ascii="仿宋" w:hAnsi="仿宋" w:eastAsia="仿宋" w:cs="Times New Roman"/>
                <w:spacing w:val="-6"/>
                <w:szCs w:val="21"/>
              </w:rPr>
              <w:t>不区分专业，按综合</w:t>
            </w:r>
            <w:r>
              <w:rPr>
                <w:rFonts w:hint="eastAsia" w:ascii="仿宋" w:hAnsi="仿宋" w:eastAsia="仿宋" w:cs="Times New Roman"/>
                <w:spacing w:val="-6"/>
                <w:szCs w:val="21"/>
              </w:rPr>
              <w:t>评分</w:t>
            </w:r>
            <w:r>
              <w:rPr>
                <w:rFonts w:ascii="仿宋" w:hAnsi="仿宋" w:eastAsia="仿宋" w:cs="Times New Roman"/>
                <w:spacing w:val="-6"/>
                <w:szCs w:val="21"/>
              </w:rPr>
              <w:t>排名推荐</w:t>
            </w:r>
            <w:r>
              <w:rPr>
                <w:rFonts w:hint="eastAsia" w:ascii="仿宋" w:hAnsi="仿宋" w:eastAsia="仿宋" w:cs="Times New Roman"/>
                <w:spacing w:val="-6"/>
                <w:szCs w:val="21"/>
              </w:rPr>
              <w:t>，需提前确定好导师。</w:t>
            </w:r>
          </w:p>
        </w:tc>
      </w:tr>
      <w:tr w14:paraId="7C4D9CC0">
        <w:tblPrEx>
          <w:tblCellMar>
            <w:top w:w="0" w:type="dxa"/>
            <w:left w:w="108" w:type="dxa"/>
            <w:bottom w:w="0" w:type="dxa"/>
            <w:right w:w="108" w:type="dxa"/>
          </w:tblCellMar>
        </w:tblPrEx>
        <w:trPr>
          <w:trHeight w:val="267" w:hRule="atLeast"/>
        </w:trPr>
        <w:tc>
          <w:tcPr>
            <w:tcW w:w="371" w:type="pct"/>
            <w:vMerge w:val="continue"/>
            <w:tcBorders>
              <w:left w:val="single" w:color="000000" w:sz="8" w:space="0"/>
              <w:bottom w:val="single" w:color="000000" w:sz="8" w:space="0"/>
              <w:right w:val="single" w:color="000000" w:sz="8" w:space="0"/>
            </w:tcBorders>
            <w:shd w:val="clear" w:color="000000" w:fill="FFFFFF"/>
            <w:noWrap/>
            <w:vAlign w:val="center"/>
          </w:tcPr>
          <w:p w14:paraId="2F82A413">
            <w:pPr>
              <w:spacing w:line="360" w:lineRule="auto"/>
              <w:jc w:val="center"/>
              <w:rPr>
                <w:rFonts w:hint="eastAsia" w:ascii="仿宋" w:hAnsi="仿宋" w:eastAsia="仿宋" w:cs="Times New Roman"/>
                <w:spacing w:val="-6"/>
                <w:szCs w:val="21"/>
              </w:rPr>
            </w:pPr>
          </w:p>
        </w:tc>
        <w:tc>
          <w:tcPr>
            <w:tcW w:w="1592" w:type="pct"/>
            <w:vMerge w:val="continue"/>
            <w:tcBorders>
              <w:left w:val="nil"/>
              <w:bottom w:val="single" w:color="000000" w:sz="8" w:space="0"/>
              <w:right w:val="single" w:color="000000" w:sz="8" w:space="0"/>
            </w:tcBorders>
            <w:shd w:val="clear" w:color="000000" w:fill="FFFFFF"/>
            <w:noWrap/>
            <w:vAlign w:val="center"/>
          </w:tcPr>
          <w:p w14:paraId="41DD29E5">
            <w:pPr>
              <w:jc w:val="center"/>
              <w:rPr>
                <w:rFonts w:hint="eastAsia" w:ascii="仿宋" w:hAnsi="仿宋" w:eastAsia="仿宋" w:cs="Times New Roman"/>
                <w:spacing w:val="-6"/>
                <w:szCs w:val="21"/>
              </w:rPr>
            </w:pPr>
          </w:p>
        </w:tc>
        <w:tc>
          <w:tcPr>
            <w:tcW w:w="769" w:type="pct"/>
            <w:tcBorders>
              <w:top w:val="nil"/>
              <w:left w:val="nil"/>
              <w:bottom w:val="single" w:color="000000" w:sz="8" w:space="0"/>
              <w:right w:val="single" w:color="000000" w:sz="8" w:space="0"/>
            </w:tcBorders>
            <w:shd w:val="clear" w:color="000000" w:fill="FFFFFF"/>
            <w:noWrap/>
            <w:vAlign w:val="center"/>
          </w:tcPr>
          <w:p w14:paraId="5C9D0A7C">
            <w:pPr>
              <w:jc w:val="center"/>
              <w:rPr>
                <w:rFonts w:hint="eastAsia" w:ascii="仿宋" w:hAnsi="仿宋" w:eastAsia="仿宋" w:cs="Times New Roman"/>
                <w:spacing w:val="-6"/>
                <w:szCs w:val="21"/>
              </w:rPr>
            </w:pPr>
            <w:r>
              <w:rPr>
                <w:rFonts w:hint="eastAsia" w:ascii="仿宋" w:hAnsi="仿宋" w:eastAsia="仿宋" w:cs="Times New Roman"/>
                <w:spacing w:val="-6"/>
                <w:szCs w:val="21"/>
              </w:rPr>
              <w:t>C</w:t>
            </w:r>
            <w:r>
              <w:rPr>
                <w:rFonts w:ascii="仿宋" w:hAnsi="仿宋" w:eastAsia="仿宋" w:cs="Times New Roman"/>
                <w:spacing w:val="-6"/>
                <w:szCs w:val="21"/>
              </w:rPr>
              <w:t>2</w:t>
            </w:r>
            <w:r>
              <w:rPr>
                <w:rFonts w:hint="eastAsia" w:ascii="仿宋" w:hAnsi="仿宋" w:eastAsia="仿宋" w:cs="Times New Roman"/>
                <w:spacing w:val="-6"/>
                <w:szCs w:val="21"/>
              </w:rPr>
              <w:t>：2</w:t>
            </w:r>
          </w:p>
        </w:tc>
        <w:tc>
          <w:tcPr>
            <w:tcW w:w="781" w:type="pct"/>
            <w:tcBorders>
              <w:top w:val="single" w:color="000000" w:sz="8" w:space="0"/>
              <w:left w:val="nil"/>
              <w:bottom w:val="single" w:color="000000" w:sz="8" w:space="0"/>
              <w:right w:val="single" w:color="000000" w:sz="8" w:space="0"/>
            </w:tcBorders>
            <w:shd w:val="clear" w:color="000000" w:fill="FFFFFF"/>
            <w:noWrap/>
            <w:vAlign w:val="center"/>
          </w:tcPr>
          <w:p w14:paraId="0FA81E27">
            <w:pPr>
              <w:jc w:val="center"/>
              <w:rPr>
                <w:rFonts w:hint="eastAsia" w:ascii="仿宋" w:hAnsi="仿宋" w:eastAsia="仿宋" w:cs="Times New Roman"/>
                <w:spacing w:val="-6"/>
                <w:szCs w:val="21"/>
              </w:rPr>
            </w:pPr>
            <w:r>
              <w:rPr>
                <w:rFonts w:hint="eastAsia" w:ascii="仿宋" w:hAnsi="仿宋" w:eastAsia="仿宋" w:cs="Times New Roman"/>
                <w:spacing w:val="-6"/>
                <w:szCs w:val="21"/>
              </w:rPr>
              <w:t>2</w:t>
            </w:r>
          </w:p>
        </w:tc>
        <w:tc>
          <w:tcPr>
            <w:tcW w:w="1488" w:type="pct"/>
            <w:tcBorders>
              <w:top w:val="single" w:color="000000" w:sz="8" w:space="0"/>
              <w:left w:val="nil"/>
              <w:bottom w:val="single" w:color="000000" w:sz="8" w:space="0"/>
              <w:right w:val="single" w:color="000000" w:sz="8" w:space="0"/>
            </w:tcBorders>
            <w:shd w:val="clear" w:color="000000" w:fill="FFFFFF"/>
          </w:tcPr>
          <w:p w14:paraId="3F996F3F">
            <w:pPr>
              <w:jc w:val="center"/>
              <w:rPr>
                <w:rFonts w:hint="eastAsia" w:ascii="仿宋" w:hAnsi="仿宋" w:eastAsia="仿宋" w:cs="Times New Roman"/>
                <w:spacing w:val="-6"/>
                <w:szCs w:val="21"/>
              </w:rPr>
            </w:pPr>
            <w:r>
              <w:rPr>
                <w:rFonts w:ascii="仿宋" w:hAnsi="仿宋" w:eastAsia="仿宋" w:cs="Times New Roman"/>
                <w:spacing w:val="-6"/>
                <w:szCs w:val="21"/>
              </w:rPr>
              <w:t>不区分专业，按综合</w:t>
            </w:r>
            <w:r>
              <w:rPr>
                <w:rFonts w:hint="eastAsia" w:ascii="仿宋" w:hAnsi="仿宋" w:eastAsia="仿宋" w:cs="Times New Roman"/>
                <w:spacing w:val="-6"/>
                <w:szCs w:val="21"/>
              </w:rPr>
              <w:t>评分</w:t>
            </w:r>
            <w:r>
              <w:rPr>
                <w:rFonts w:ascii="仿宋" w:hAnsi="仿宋" w:eastAsia="仿宋" w:cs="Times New Roman"/>
                <w:spacing w:val="-6"/>
                <w:szCs w:val="21"/>
              </w:rPr>
              <w:t>排名推荐</w:t>
            </w:r>
            <w:r>
              <w:rPr>
                <w:rFonts w:hint="eastAsia" w:ascii="仿宋" w:hAnsi="仿宋" w:eastAsia="仿宋" w:cs="Times New Roman"/>
                <w:spacing w:val="-6"/>
                <w:szCs w:val="21"/>
              </w:rPr>
              <w:t>，需提前确定好导师。</w:t>
            </w:r>
          </w:p>
        </w:tc>
      </w:tr>
      <w:tr w14:paraId="67A7726E">
        <w:tblPrEx>
          <w:tblCellMar>
            <w:top w:w="0" w:type="dxa"/>
            <w:left w:w="108" w:type="dxa"/>
            <w:bottom w:w="0" w:type="dxa"/>
            <w:right w:w="108" w:type="dxa"/>
          </w:tblCellMar>
        </w:tblPrEx>
        <w:trPr>
          <w:trHeight w:val="290" w:hRule="atLeast"/>
        </w:trPr>
        <w:tc>
          <w:tcPr>
            <w:tcW w:w="371" w:type="pct"/>
            <w:vMerge w:val="restart"/>
            <w:tcBorders>
              <w:top w:val="nil"/>
              <w:left w:val="single" w:color="000000" w:sz="8" w:space="0"/>
              <w:right w:val="single" w:color="000000" w:sz="8" w:space="0"/>
            </w:tcBorders>
            <w:shd w:val="clear" w:color="000000" w:fill="FFFFFF"/>
            <w:noWrap/>
            <w:vAlign w:val="center"/>
          </w:tcPr>
          <w:p w14:paraId="7F3840E0">
            <w:pPr>
              <w:spacing w:line="360" w:lineRule="auto"/>
              <w:jc w:val="center"/>
              <w:rPr>
                <w:rFonts w:hint="eastAsia" w:ascii="仿宋" w:hAnsi="仿宋" w:eastAsia="仿宋" w:cs="Times New Roman"/>
                <w:spacing w:val="-6"/>
                <w:szCs w:val="21"/>
              </w:rPr>
            </w:pPr>
            <w:r>
              <w:rPr>
                <w:rFonts w:ascii="仿宋" w:hAnsi="仿宋" w:eastAsia="仿宋" w:cs="Times New Roman"/>
                <w:spacing w:val="-6"/>
                <w:szCs w:val="21"/>
              </w:rPr>
              <w:t>4</w:t>
            </w:r>
          </w:p>
        </w:tc>
        <w:tc>
          <w:tcPr>
            <w:tcW w:w="1592" w:type="pct"/>
            <w:vMerge w:val="restart"/>
            <w:tcBorders>
              <w:top w:val="nil"/>
              <w:left w:val="nil"/>
              <w:right w:val="single" w:color="000000" w:sz="8" w:space="0"/>
            </w:tcBorders>
            <w:shd w:val="clear" w:color="000000" w:fill="FFFFFF"/>
            <w:noWrap/>
            <w:vAlign w:val="center"/>
          </w:tcPr>
          <w:p w14:paraId="092C45CE">
            <w:pPr>
              <w:jc w:val="center"/>
              <w:rPr>
                <w:rFonts w:hint="eastAsia" w:ascii="仿宋" w:hAnsi="仿宋" w:eastAsia="仿宋" w:cs="Times New Roman"/>
                <w:spacing w:val="-6"/>
                <w:szCs w:val="21"/>
              </w:rPr>
            </w:pPr>
            <w:r>
              <w:rPr>
                <w:rFonts w:ascii="仿宋" w:hAnsi="仿宋" w:eastAsia="仿宋" w:cs="Times New Roman"/>
                <w:spacing w:val="-6"/>
                <w:szCs w:val="21"/>
              </w:rPr>
              <w:t>普通推免</w:t>
            </w:r>
          </w:p>
          <w:p w14:paraId="2C1DCD88">
            <w:pPr>
              <w:jc w:val="center"/>
              <w:rPr>
                <w:rFonts w:hint="eastAsia" w:ascii="仿宋" w:hAnsi="仿宋" w:eastAsia="仿宋" w:cs="Times New Roman"/>
                <w:spacing w:val="-6"/>
                <w:szCs w:val="21"/>
              </w:rPr>
            </w:pPr>
            <w:r>
              <w:rPr>
                <w:rFonts w:hint="eastAsia" w:ascii="仿宋" w:hAnsi="仿宋" w:eastAsia="仿宋" w:cs="Times New Roman"/>
                <w:spacing w:val="-6"/>
                <w:szCs w:val="21"/>
              </w:rPr>
              <w:t>（</w:t>
            </w:r>
            <w:r>
              <w:rPr>
                <w:rFonts w:ascii="仿宋" w:hAnsi="仿宋" w:eastAsia="仿宋" w:cs="Times New Roman"/>
                <w:spacing w:val="-6"/>
                <w:szCs w:val="21"/>
              </w:rPr>
              <w:t>D</w:t>
            </w:r>
            <w:r>
              <w:rPr>
                <w:rFonts w:hint="eastAsia" w:ascii="仿宋" w:hAnsi="仿宋" w:eastAsia="仿宋" w:cs="Times New Roman"/>
                <w:spacing w:val="-6"/>
                <w:szCs w:val="21"/>
              </w:rPr>
              <w:t>通道）</w:t>
            </w:r>
          </w:p>
        </w:tc>
        <w:tc>
          <w:tcPr>
            <w:tcW w:w="769" w:type="pct"/>
            <w:tcBorders>
              <w:top w:val="nil"/>
              <w:left w:val="nil"/>
              <w:bottom w:val="single" w:color="000000" w:sz="8" w:space="0"/>
              <w:right w:val="single" w:color="000000" w:sz="8" w:space="0"/>
            </w:tcBorders>
            <w:shd w:val="clear" w:color="000000" w:fill="FFFFFF"/>
            <w:noWrap/>
            <w:vAlign w:val="center"/>
          </w:tcPr>
          <w:p w14:paraId="0E62B380">
            <w:pPr>
              <w:jc w:val="center"/>
              <w:rPr>
                <w:rFonts w:hint="eastAsia" w:ascii="仿宋" w:hAnsi="仿宋" w:eastAsia="仿宋" w:cs="Times New Roman"/>
                <w:spacing w:val="-6"/>
                <w:szCs w:val="21"/>
              </w:rPr>
            </w:pPr>
            <w:r>
              <w:rPr>
                <w:rFonts w:ascii="仿宋" w:hAnsi="仿宋" w:eastAsia="仿宋" w:cs="Times New Roman"/>
                <w:spacing w:val="-6"/>
                <w:szCs w:val="21"/>
              </w:rPr>
              <w:t>17</w:t>
            </w:r>
          </w:p>
        </w:tc>
        <w:tc>
          <w:tcPr>
            <w:tcW w:w="781" w:type="pct"/>
            <w:tcBorders>
              <w:top w:val="nil"/>
              <w:left w:val="nil"/>
              <w:bottom w:val="single" w:color="000000" w:sz="8" w:space="0"/>
              <w:right w:val="single" w:color="000000" w:sz="8" w:space="0"/>
            </w:tcBorders>
            <w:shd w:val="clear" w:color="000000" w:fill="FFFFFF"/>
            <w:noWrap/>
            <w:vAlign w:val="center"/>
          </w:tcPr>
          <w:p w14:paraId="7B8CE7D9">
            <w:pPr>
              <w:jc w:val="center"/>
              <w:rPr>
                <w:rFonts w:hint="eastAsia" w:ascii="仿宋" w:hAnsi="仿宋" w:eastAsia="仿宋" w:cs="Times New Roman"/>
                <w:spacing w:val="-6"/>
                <w:szCs w:val="21"/>
              </w:rPr>
            </w:pPr>
            <w:r>
              <w:rPr>
                <w:rFonts w:ascii="仿宋" w:hAnsi="仿宋" w:eastAsia="仿宋" w:cs="Times New Roman"/>
                <w:spacing w:val="-6"/>
                <w:szCs w:val="21"/>
              </w:rPr>
              <w:t>2</w:t>
            </w:r>
          </w:p>
        </w:tc>
        <w:tc>
          <w:tcPr>
            <w:tcW w:w="1488" w:type="pct"/>
            <w:tcBorders>
              <w:top w:val="nil"/>
              <w:left w:val="nil"/>
              <w:bottom w:val="single" w:color="000000" w:sz="8" w:space="0"/>
              <w:right w:val="single" w:color="000000" w:sz="8" w:space="0"/>
            </w:tcBorders>
            <w:shd w:val="clear" w:color="000000" w:fill="FFFFFF"/>
          </w:tcPr>
          <w:p w14:paraId="669D8555">
            <w:pPr>
              <w:jc w:val="center"/>
              <w:rPr>
                <w:rFonts w:hint="eastAsia" w:ascii="仿宋" w:hAnsi="仿宋" w:eastAsia="仿宋" w:cs="Times New Roman"/>
                <w:spacing w:val="-6"/>
                <w:szCs w:val="21"/>
              </w:rPr>
            </w:pPr>
            <w:r>
              <w:rPr>
                <w:rFonts w:ascii="仿宋" w:hAnsi="仿宋" w:eastAsia="仿宋" w:cs="Times New Roman"/>
                <w:spacing w:val="-6"/>
                <w:szCs w:val="21"/>
              </w:rPr>
              <w:t>应用化学专业</w:t>
            </w:r>
          </w:p>
        </w:tc>
      </w:tr>
      <w:tr w14:paraId="14161F11">
        <w:tblPrEx>
          <w:tblCellMar>
            <w:top w:w="0" w:type="dxa"/>
            <w:left w:w="108" w:type="dxa"/>
            <w:bottom w:w="0" w:type="dxa"/>
            <w:right w:w="108" w:type="dxa"/>
          </w:tblCellMar>
        </w:tblPrEx>
        <w:trPr>
          <w:trHeight w:val="290" w:hRule="atLeast"/>
        </w:trPr>
        <w:tc>
          <w:tcPr>
            <w:tcW w:w="371" w:type="pct"/>
            <w:vMerge w:val="continue"/>
            <w:tcBorders>
              <w:left w:val="single" w:color="000000" w:sz="8" w:space="0"/>
              <w:bottom w:val="single" w:color="000000" w:sz="8" w:space="0"/>
              <w:right w:val="single" w:color="000000" w:sz="8" w:space="0"/>
            </w:tcBorders>
            <w:shd w:val="clear" w:color="000000" w:fill="FFFFFF"/>
            <w:noWrap/>
            <w:vAlign w:val="center"/>
          </w:tcPr>
          <w:p w14:paraId="027473D9">
            <w:pPr>
              <w:spacing w:line="360" w:lineRule="auto"/>
              <w:jc w:val="center"/>
              <w:rPr>
                <w:rFonts w:hint="eastAsia" w:ascii="仿宋" w:hAnsi="仿宋" w:eastAsia="仿宋" w:cs="Times New Roman"/>
                <w:spacing w:val="-6"/>
                <w:szCs w:val="21"/>
              </w:rPr>
            </w:pPr>
          </w:p>
        </w:tc>
        <w:tc>
          <w:tcPr>
            <w:tcW w:w="1592" w:type="pct"/>
            <w:vMerge w:val="continue"/>
            <w:tcBorders>
              <w:left w:val="nil"/>
              <w:bottom w:val="single" w:color="000000" w:sz="8" w:space="0"/>
              <w:right w:val="single" w:color="000000" w:sz="8" w:space="0"/>
            </w:tcBorders>
            <w:shd w:val="clear" w:color="000000" w:fill="FFFFFF"/>
            <w:noWrap/>
            <w:vAlign w:val="center"/>
          </w:tcPr>
          <w:p w14:paraId="488D1004">
            <w:pPr>
              <w:jc w:val="center"/>
              <w:rPr>
                <w:rFonts w:hint="eastAsia" w:ascii="仿宋" w:hAnsi="仿宋" w:eastAsia="仿宋" w:cs="Times New Roman"/>
                <w:spacing w:val="-6"/>
                <w:szCs w:val="21"/>
              </w:rPr>
            </w:pPr>
          </w:p>
        </w:tc>
        <w:tc>
          <w:tcPr>
            <w:tcW w:w="769" w:type="pct"/>
            <w:tcBorders>
              <w:top w:val="nil"/>
              <w:left w:val="nil"/>
              <w:bottom w:val="single" w:color="000000" w:sz="8" w:space="0"/>
              <w:right w:val="single" w:color="000000" w:sz="8" w:space="0"/>
            </w:tcBorders>
            <w:shd w:val="clear" w:color="000000" w:fill="FFFFFF"/>
            <w:noWrap/>
            <w:vAlign w:val="center"/>
          </w:tcPr>
          <w:p w14:paraId="66AC4E88">
            <w:pPr>
              <w:jc w:val="center"/>
              <w:rPr>
                <w:rFonts w:hint="eastAsia" w:ascii="仿宋" w:hAnsi="仿宋" w:eastAsia="仿宋" w:cs="Times New Roman"/>
                <w:spacing w:val="-6"/>
                <w:szCs w:val="21"/>
              </w:rPr>
            </w:pPr>
            <w:r>
              <w:rPr>
                <w:rFonts w:ascii="仿宋" w:hAnsi="仿宋" w:eastAsia="仿宋" w:cs="Times New Roman"/>
                <w:spacing w:val="-6"/>
                <w:szCs w:val="21"/>
              </w:rPr>
              <w:t>14</w:t>
            </w:r>
          </w:p>
        </w:tc>
        <w:tc>
          <w:tcPr>
            <w:tcW w:w="781" w:type="pct"/>
            <w:tcBorders>
              <w:top w:val="nil"/>
              <w:left w:val="nil"/>
              <w:bottom w:val="single" w:color="000000" w:sz="8" w:space="0"/>
              <w:right w:val="single" w:color="000000" w:sz="8" w:space="0"/>
            </w:tcBorders>
            <w:shd w:val="clear" w:color="000000" w:fill="FFFFFF"/>
            <w:noWrap/>
            <w:vAlign w:val="center"/>
          </w:tcPr>
          <w:p w14:paraId="7B4DA985">
            <w:pPr>
              <w:jc w:val="center"/>
              <w:rPr>
                <w:rFonts w:hint="eastAsia" w:ascii="仿宋" w:hAnsi="仿宋" w:eastAsia="仿宋" w:cs="Times New Roman"/>
                <w:spacing w:val="-6"/>
                <w:szCs w:val="21"/>
              </w:rPr>
            </w:pPr>
            <w:r>
              <w:rPr>
                <w:rFonts w:ascii="仿宋" w:hAnsi="仿宋" w:eastAsia="仿宋" w:cs="Times New Roman"/>
                <w:spacing w:val="-6"/>
                <w:szCs w:val="21"/>
              </w:rPr>
              <w:t>2</w:t>
            </w:r>
          </w:p>
        </w:tc>
        <w:tc>
          <w:tcPr>
            <w:tcW w:w="1488" w:type="pct"/>
            <w:tcBorders>
              <w:top w:val="nil"/>
              <w:left w:val="nil"/>
              <w:bottom w:val="single" w:color="000000" w:sz="8" w:space="0"/>
              <w:right w:val="single" w:color="000000" w:sz="8" w:space="0"/>
            </w:tcBorders>
            <w:shd w:val="clear" w:color="000000" w:fill="FFFFFF"/>
          </w:tcPr>
          <w:p w14:paraId="6D6D45A8">
            <w:pPr>
              <w:jc w:val="center"/>
              <w:rPr>
                <w:rFonts w:hint="eastAsia" w:ascii="仿宋" w:hAnsi="仿宋" w:eastAsia="仿宋" w:cs="Times New Roman"/>
                <w:spacing w:val="-6"/>
                <w:szCs w:val="21"/>
              </w:rPr>
            </w:pPr>
            <w:r>
              <w:rPr>
                <w:rFonts w:ascii="仿宋" w:hAnsi="仿宋" w:eastAsia="仿宋" w:cs="Times New Roman"/>
                <w:spacing w:val="-6"/>
                <w:szCs w:val="21"/>
              </w:rPr>
              <w:t>轻化工程（卓越）</w:t>
            </w:r>
          </w:p>
        </w:tc>
      </w:tr>
    </w:tbl>
    <w:p w14:paraId="21D2EA87">
      <w:pPr>
        <w:spacing w:line="360" w:lineRule="auto"/>
        <w:outlineLvl w:val="1"/>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六、排名</w:t>
      </w:r>
      <w:r>
        <w:rPr>
          <w:rFonts w:hint="eastAsia" w:ascii="Times New Roman" w:hAnsi="Times New Roman" w:eastAsia="仿宋" w:cs="Times New Roman"/>
          <w:b/>
          <w:bCs/>
          <w:spacing w:val="-4"/>
          <w:sz w:val="24"/>
          <w:szCs w:val="24"/>
        </w:rPr>
        <w:t>与候补</w:t>
      </w:r>
      <w:r>
        <w:rPr>
          <w:rFonts w:ascii="Times New Roman" w:hAnsi="Times New Roman" w:eastAsia="仿宋" w:cs="Times New Roman"/>
          <w:b/>
          <w:bCs/>
          <w:spacing w:val="-4"/>
          <w:sz w:val="24"/>
          <w:szCs w:val="24"/>
        </w:rPr>
        <w:t>规则</w:t>
      </w:r>
    </w:p>
    <w:p w14:paraId="18E59855">
      <w:pPr>
        <w:spacing w:line="360" w:lineRule="auto"/>
        <w:ind w:firstLine="466" w:firstLineChars="200"/>
        <w:outlineLvl w:val="1"/>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 xml:space="preserve">1. </w:t>
      </w:r>
      <w:r>
        <w:rPr>
          <w:rFonts w:hint="eastAsia" w:ascii="Times New Roman" w:hAnsi="Times New Roman" w:eastAsia="仿宋" w:cs="Times New Roman"/>
          <w:b/>
          <w:bCs/>
          <w:spacing w:val="-4"/>
          <w:sz w:val="24"/>
          <w:szCs w:val="24"/>
        </w:rPr>
        <w:t>排名规则：</w:t>
      </w:r>
    </w:p>
    <w:p w14:paraId="395DCDCB">
      <w:pPr>
        <w:spacing w:line="360" w:lineRule="auto"/>
        <w:ind w:firstLine="464" w:firstLineChars="200"/>
        <w:outlineLvl w:val="1"/>
        <w:rPr>
          <w:rFonts w:ascii="Times New Roman" w:hAnsi="Times New Roman" w:eastAsia="仿宋" w:cs="Times New Roman"/>
          <w:sz w:val="24"/>
          <w:szCs w:val="24"/>
        </w:rPr>
      </w:pPr>
      <w:r>
        <w:rPr>
          <w:rFonts w:hint="eastAsia" w:ascii="Times New Roman" w:hAnsi="Times New Roman" w:eastAsia="仿宋" w:cs="Times New Roman"/>
          <w:spacing w:val="-4"/>
          <w:sz w:val="24"/>
          <w:szCs w:val="24"/>
        </w:rPr>
        <w:t>（1）</w:t>
      </w:r>
      <w:r>
        <w:rPr>
          <w:rFonts w:hint="eastAsia" w:ascii="Times New Roman" w:hAnsi="Times New Roman" w:eastAsia="仿宋" w:cs="Times New Roman"/>
          <w:sz w:val="24"/>
          <w:szCs w:val="24"/>
        </w:rPr>
        <w:t>学院推免设国家工程硕博士专项</w:t>
      </w:r>
      <w:r>
        <w:rPr>
          <w:rFonts w:ascii="Times New Roman" w:hAnsi="Times New Roman" w:eastAsia="仿宋" w:cs="Times New Roman"/>
          <w:sz w:val="24"/>
          <w:szCs w:val="24"/>
        </w:rPr>
        <w:t>、上海市快速响应专项、学校直博专项和普通推免</w:t>
      </w:r>
      <w:r>
        <w:rPr>
          <w:rFonts w:hint="eastAsia" w:ascii="Times New Roman" w:hAnsi="Times New Roman" w:eastAsia="仿宋" w:cs="Times New Roman"/>
          <w:sz w:val="24"/>
          <w:szCs w:val="24"/>
        </w:rPr>
        <w:t>四个推荐通道，学院按以上四个通道的先后顺序开展推荐工作。</w:t>
      </w:r>
    </w:p>
    <w:p w14:paraId="70023D9A">
      <w:pPr>
        <w:spacing w:line="360" w:lineRule="auto"/>
        <w:ind w:firstLine="464" w:firstLineChars="200"/>
        <w:outlineLvl w:val="1"/>
        <w:rPr>
          <w:rFonts w:ascii="Times New Roman" w:hAnsi="Times New Roman" w:eastAsia="仿宋" w:cs="Times New Roman"/>
          <w:sz w:val="24"/>
          <w:szCs w:val="24"/>
        </w:rPr>
      </w:pPr>
      <w:r>
        <w:rPr>
          <w:rFonts w:hint="eastAsia" w:ascii="Times New Roman" w:hAnsi="Times New Roman" w:eastAsia="仿宋" w:cs="Times New Roman"/>
          <w:spacing w:val="-4"/>
          <w:sz w:val="24"/>
          <w:szCs w:val="24"/>
        </w:rPr>
        <w:t>（</w:t>
      </w:r>
      <w:r>
        <w:rPr>
          <w:rFonts w:ascii="Times New Roman" w:hAnsi="Times New Roman" w:eastAsia="仿宋" w:cs="Times New Roman"/>
          <w:spacing w:val="-4"/>
          <w:sz w:val="24"/>
          <w:szCs w:val="24"/>
        </w:rPr>
        <w:t>2</w:t>
      </w:r>
      <w:r>
        <w:rPr>
          <w:rFonts w:hint="eastAsia" w:ascii="Times New Roman" w:hAnsi="Times New Roman" w:eastAsia="仿宋" w:cs="Times New Roman"/>
          <w:spacing w:val="-4"/>
          <w:sz w:val="24"/>
          <w:szCs w:val="24"/>
        </w:rPr>
        <w:t>）</w:t>
      </w:r>
      <w:r>
        <w:rPr>
          <w:rFonts w:hint="eastAsia" w:ascii="Times New Roman" w:hAnsi="Times New Roman" w:eastAsia="仿宋" w:cs="Times New Roman"/>
          <w:sz w:val="24"/>
          <w:szCs w:val="24"/>
        </w:rPr>
        <w:t xml:space="preserve">填报推免专项的学生，学院按综合评分从高到低的原则进行推荐，各通道等额推荐，设候补名额。已获专项拟推荐资格的学生不再进入后续通道推荐。未获得专项推荐资格的学生可进入普通推免通道参与推荐选拔。 </w:t>
      </w:r>
    </w:p>
    <w:p w14:paraId="57650299">
      <w:pPr>
        <w:spacing w:line="360" w:lineRule="auto"/>
        <w:ind w:firstLine="464" w:firstLineChars="200"/>
        <w:outlineLvl w:val="1"/>
        <w:rPr>
          <w:rFonts w:ascii="Times New Roman" w:hAnsi="Times New Roman" w:eastAsia="仿宋" w:cs="Times New Roman"/>
          <w:b/>
          <w:bCs/>
          <w:spacing w:val="-4"/>
          <w:sz w:val="24"/>
          <w:szCs w:val="24"/>
        </w:rPr>
      </w:pPr>
      <w:r>
        <w:rPr>
          <w:rFonts w:hint="eastAsia" w:ascii="Times New Roman" w:hAnsi="Times New Roman" w:eastAsia="仿宋" w:cs="Times New Roman"/>
          <w:spacing w:val="-4"/>
          <w:sz w:val="24"/>
          <w:szCs w:val="24"/>
        </w:rPr>
        <w:t>（</w:t>
      </w:r>
      <w:r>
        <w:rPr>
          <w:rFonts w:ascii="Times New Roman" w:hAnsi="Times New Roman" w:eastAsia="仿宋" w:cs="Times New Roman"/>
          <w:spacing w:val="-4"/>
          <w:sz w:val="24"/>
          <w:szCs w:val="24"/>
        </w:rPr>
        <w:t>3</w:t>
      </w:r>
      <w:r>
        <w:rPr>
          <w:rFonts w:hint="eastAsia" w:ascii="Times New Roman" w:hAnsi="Times New Roman" w:eastAsia="仿宋" w:cs="Times New Roman"/>
          <w:spacing w:val="-4"/>
          <w:sz w:val="24"/>
          <w:szCs w:val="24"/>
        </w:rPr>
        <w:t>）普通推免通道</w:t>
      </w:r>
      <w:r>
        <w:rPr>
          <w:rFonts w:ascii="Times New Roman" w:hAnsi="Times New Roman" w:eastAsia="仿宋" w:cs="Times New Roman"/>
          <w:sz w:val="24"/>
          <w:szCs w:val="24"/>
        </w:rPr>
        <w:t>同专业范围内按照综合评分成绩从高到低的顺序排序。综合</w:t>
      </w:r>
      <w:r>
        <w:rPr>
          <w:rFonts w:hint="eastAsia" w:ascii="Times New Roman" w:hAnsi="Times New Roman" w:eastAsia="仿宋" w:cs="Times New Roman"/>
          <w:sz w:val="24"/>
          <w:szCs w:val="24"/>
        </w:rPr>
        <w:t>评分</w:t>
      </w:r>
      <w:r>
        <w:rPr>
          <w:rFonts w:ascii="Times New Roman" w:hAnsi="Times New Roman" w:eastAsia="仿宋" w:cs="Times New Roman"/>
          <w:sz w:val="24"/>
          <w:szCs w:val="24"/>
        </w:rPr>
        <w:t>相同时，以学业成绩高低予以排名推荐。</w:t>
      </w:r>
    </w:p>
    <w:p w14:paraId="59218B63">
      <w:pPr>
        <w:shd w:val="clear" w:color="auto" w:fill="FFFFFF"/>
        <w:spacing w:line="360" w:lineRule="auto"/>
        <w:ind w:firstLine="466" w:firstLineChars="200"/>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2. 候补规则：</w:t>
      </w:r>
    </w:p>
    <w:p w14:paraId="3EF133DC">
      <w:pPr>
        <w:shd w:val="clear" w:color="auto" w:fill="FFFFFF"/>
        <w:spacing w:line="360" w:lineRule="auto"/>
        <w:ind w:firstLine="464" w:firstLineChars="200"/>
        <w:rPr>
          <w:rFonts w:ascii="Times New Roman" w:hAnsi="Times New Roman" w:eastAsia="仿宋" w:cs="Times New Roman"/>
          <w:spacing w:val="-4"/>
          <w:sz w:val="24"/>
          <w:szCs w:val="24"/>
        </w:rPr>
      </w:pPr>
      <w:r>
        <w:rPr>
          <w:rFonts w:ascii="Times New Roman" w:hAnsi="Times New Roman" w:eastAsia="仿宋" w:cs="Times New Roman"/>
          <w:spacing w:val="-4"/>
          <w:sz w:val="24"/>
          <w:szCs w:val="24"/>
        </w:rPr>
        <w:t>（1）学院严格按照学校下达的名额数开展推免工作，</w:t>
      </w:r>
      <w:r>
        <w:rPr>
          <w:rFonts w:hint="eastAsia" w:ascii="Times New Roman" w:hAnsi="Times New Roman" w:eastAsia="仿宋" w:cs="Times New Roman"/>
          <w:spacing w:val="-4"/>
          <w:sz w:val="24"/>
          <w:szCs w:val="24"/>
        </w:rPr>
        <w:t xml:space="preserve">符合学院推免条件的学生四个推免通道均可填报。 </w:t>
      </w:r>
    </w:p>
    <w:p w14:paraId="76ED2CB4">
      <w:pPr>
        <w:shd w:val="clear" w:color="auto" w:fill="FFFFFF"/>
        <w:spacing w:line="360" w:lineRule="auto"/>
        <w:ind w:firstLine="464" w:firstLineChars="200"/>
        <w:rPr>
          <w:rFonts w:ascii="Times New Roman" w:hAnsi="Times New Roman" w:eastAsia="仿宋" w:cs="Times New Roman"/>
          <w:spacing w:val="-4"/>
          <w:sz w:val="24"/>
          <w:szCs w:val="24"/>
        </w:rPr>
      </w:pPr>
      <w:r>
        <w:rPr>
          <w:rFonts w:hint="eastAsia" w:ascii="Times New Roman" w:hAnsi="Times New Roman" w:eastAsia="仿宋" w:cs="Times New Roman"/>
          <w:spacing w:val="-4"/>
          <w:sz w:val="24"/>
          <w:szCs w:val="24"/>
        </w:rPr>
        <w:t>（</w:t>
      </w:r>
      <w:r>
        <w:rPr>
          <w:rFonts w:ascii="Times New Roman" w:hAnsi="Times New Roman" w:eastAsia="仿宋" w:cs="Times New Roman"/>
          <w:spacing w:val="-4"/>
          <w:sz w:val="24"/>
          <w:szCs w:val="24"/>
        </w:rPr>
        <w:t>2</w:t>
      </w:r>
      <w:r>
        <w:rPr>
          <w:rFonts w:hint="eastAsia" w:ascii="Times New Roman" w:hAnsi="Times New Roman" w:eastAsia="仿宋" w:cs="Times New Roman"/>
          <w:spacing w:val="-4"/>
          <w:sz w:val="24"/>
          <w:szCs w:val="24"/>
        </w:rPr>
        <w:t xml:space="preserve">）学院推荐工作完成后，根据学生志愿和综合评分由高到低排序设各通道候补人选，各通道候补人选可以重复。学院公示期间如有学生放弃推免资格，按照时间优先级顺序在通道内依次进行补推荐，专项通道无候补人选，则可从普通通道按学生意愿进行补推荐。 </w:t>
      </w:r>
    </w:p>
    <w:p w14:paraId="339ACDD4">
      <w:pPr>
        <w:numPr>
          <w:ilvl w:val="255"/>
          <w:numId w:val="0"/>
        </w:numPr>
        <w:shd w:val="clear" w:color="auto" w:fill="FFFFFF"/>
        <w:spacing w:line="360" w:lineRule="auto"/>
        <w:ind w:firstLine="555"/>
        <w:rPr>
          <w:rFonts w:ascii="Times New Roman" w:hAnsi="Times New Roman" w:eastAsia="仿宋" w:cs="Times New Roman"/>
          <w:sz w:val="24"/>
          <w:szCs w:val="24"/>
        </w:rPr>
      </w:pPr>
      <w:r>
        <w:rPr>
          <w:rFonts w:ascii="Times New Roman" w:hAnsi="Times New Roman" w:eastAsia="仿宋" w:cs="Times New Roman"/>
          <w:spacing w:val="-4"/>
          <w:sz w:val="24"/>
          <w:szCs w:val="24"/>
        </w:rPr>
        <w:t>（3）若学校统筹调配单独增加计划外的名额，则在全院符合推免条件的其余申请者中按综合评分从高到低择优产生。</w:t>
      </w:r>
    </w:p>
    <w:p w14:paraId="54D70FB0">
      <w:pPr>
        <w:spacing w:before="78" w:line="360" w:lineRule="auto"/>
        <w:ind w:left="28"/>
        <w:outlineLvl w:val="1"/>
        <w:rPr>
          <w:rFonts w:ascii="Times New Roman" w:hAnsi="Times New Roman" w:eastAsia="仿宋" w:cs="Times New Roman"/>
          <w:sz w:val="24"/>
          <w:szCs w:val="24"/>
        </w:rPr>
      </w:pPr>
      <w:r>
        <w:rPr>
          <w:rFonts w:ascii="Times New Roman" w:hAnsi="Times New Roman" w:eastAsia="仿宋" w:cs="Times New Roman"/>
          <w:b/>
          <w:bCs/>
          <w:spacing w:val="-3"/>
          <w:sz w:val="24"/>
          <w:szCs w:val="24"/>
        </w:rPr>
        <w:t>七、推免工作程序和时间安排</w:t>
      </w:r>
    </w:p>
    <w:p w14:paraId="5981AC53">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kern w:val="0"/>
          <w:sz w:val="24"/>
          <w:szCs w:val="24"/>
        </w:rPr>
        <w:t>9月4日：学院启动推免工作，</w:t>
      </w:r>
      <w:r>
        <w:rPr>
          <w:rFonts w:ascii="Times New Roman" w:hAnsi="Times New Roman" w:eastAsia="仿宋" w:cs="Times New Roman"/>
          <w:sz w:val="24"/>
          <w:szCs w:val="24"/>
          <w:shd w:val="clear" w:color="auto" w:fill="FFFFFF"/>
        </w:rPr>
        <w:t>成立推免生推荐工作领导小组，制订学院实施细则。</w:t>
      </w:r>
    </w:p>
    <w:p w14:paraId="5EBCE0BD">
      <w:pPr>
        <w:tabs>
          <w:tab w:val="left" w:pos="1400"/>
        </w:tabs>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sz w:val="24"/>
          <w:szCs w:val="24"/>
        </w:rPr>
        <w:t>9月7日：向全体毕业班学生传达推免工作，公布学院推免实施细则。</w:t>
      </w:r>
    </w:p>
    <w:p w14:paraId="0F06A4C7">
      <w:pPr>
        <w:tabs>
          <w:tab w:val="left" w:pos="1400"/>
        </w:tabs>
        <w:spacing w:line="360" w:lineRule="auto"/>
        <w:ind w:firstLine="480" w:firstLineChars="200"/>
        <w:rPr>
          <w:rFonts w:ascii="Times New Roman" w:hAnsi="Times New Roman" w:eastAsia="仿宋" w:cs="Times New Roman"/>
          <w:kern w:val="0"/>
          <w:sz w:val="24"/>
          <w:szCs w:val="24"/>
        </w:rPr>
      </w:pPr>
      <w:r>
        <w:rPr>
          <w:rFonts w:ascii="Times New Roman" w:hAnsi="Times New Roman" w:eastAsia="仿宋" w:cs="Times New Roman"/>
          <w:kern w:val="0"/>
          <w:sz w:val="24"/>
          <w:szCs w:val="24"/>
        </w:rPr>
        <w:t>9月9日1</w:t>
      </w:r>
      <w:r>
        <w:rPr>
          <w:rFonts w:hint="eastAsia" w:ascii="Times New Roman" w:hAnsi="Times New Roman" w:eastAsia="仿宋" w:cs="Times New Roman"/>
          <w:kern w:val="0"/>
          <w:sz w:val="24"/>
          <w:szCs w:val="24"/>
        </w:rPr>
        <w:t>2</w:t>
      </w:r>
      <w:r>
        <w:rPr>
          <w:rFonts w:ascii="Times New Roman" w:hAnsi="Times New Roman" w:eastAsia="仿宋" w:cs="Times New Roman"/>
          <w:kern w:val="0"/>
          <w:sz w:val="24"/>
          <w:szCs w:val="24"/>
        </w:rPr>
        <w:t>点前：学生</w:t>
      </w:r>
      <w:r>
        <w:rPr>
          <w:rFonts w:hint="eastAsia" w:ascii="Times New Roman" w:hAnsi="Times New Roman" w:eastAsia="仿宋" w:cs="Times New Roman"/>
          <w:kern w:val="0"/>
          <w:sz w:val="24"/>
          <w:szCs w:val="24"/>
          <w:lang w:val="en-US" w:eastAsia="zh-CN"/>
        </w:rPr>
        <w:t>到学院楼4083室</w:t>
      </w:r>
      <w:bookmarkStart w:id="2" w:name="_GoBack"/>
      <w:bookmarkEnd w:id="2"/>
      <w:r>
        <w:rPr>
          <w:rFonts w:ascii="Times New Roman" w:hAnsi="Times New Roman" w:eastAsia="仿宋" w:cs="Times New Roman"/>
          <w:sz w:val="24"/>
          <w:szCs w:val="24"/>
        </w:rPr>
        <w:t>提交推免材料。</w:t>
      </w:r>
      <w:r>
        <w:rPr>
          <w:rFonts w:ascii="Times New Roman" w:hAnsi="Times New Roman" w:eastAsia="仿宋" w:cs="Times New Roman"/>
          <w:kern w:val="0"/>
          <w:sz w:val="24"/>
          <w:szCs w:val="24"/>
        </w:rPr>
        <w:t>填写并提交</w:t>
      </w:r>
      <w:r>
        <w:rPr>
          <w:rFonts w:ascii="Times New Roman" w:hAnsi="Times New Roman" w:eastAsia="仿宋" w:cs="Times New Roman"/>
          <w:bCs/>
          <w:spacing w:val="-4"/>
          <w:sz w:val="24"/>
          <w:szCs w:val="24"/>
        </w:rPr>
        <w:t>东华大学推荐免试攻读研究生资格申请表及相关证明</w:t>
      </w:r>
      <w:r>
        <w:rPr>
          <w:rFonts w:ascii="Times New Roman" w:hAnsi="Times New Roman" w:eastAsia="仿宋" w:cs="Times New Roman"/>
          <w:kern w:val="0"/>
          <w:sz w:val="24"/>
          <w:szCs w:val="24"/>
        </w:rPr>
        <w:t>材料（</w:t>
      </w:r>
      <w:r>
        <w:rPr>
          <w:rFonts w:hint="eastAsia" w:ascii="Times New Roman" w:hAnsi="Times New Roman" w:eastAsia="仿宋" w:cs="Times New Roman"/>
          <w:kern w:val="0"/>
          <w:sz w:val="24"/>
          <w:szCs w:val="24"/>
        </w:rPr>
        <w:t>证书原件及复印件，论文见刊（在线发表）或检索证明，涉及与指导教师联合发表论文等情况的，还需要出具指导教师本人撰写并署名的推荐信</w:t>
      </w:r>
      <w:r>
        <w:rPr>
          <w:rFonts w:ascii="Times New Roman" w:hAnsi="Times New Roman" w:eastAsia="仿宋" w:cs="Times New Roman"/>
          <w:kern w:val="0"/>
          <w:sz w:val="24"/>
          <w:szCs w:val="24"/>
        </w:rPr>
        <w:t>）,过时不接受补交。</w:t>
      </w:r>
    </w:p>
    <w:p w14:paraId="0CEC3246">
      <w:pPr>
        <w:tabs>
          <w:tab w:val="left" w:pos="1400"/>
        </w:tabs>
        <w:spacing w:line="360" w:lineRule="auto"/>
        <w:ind w:firstLine="480" w:firstLineChars="200"/>
        <w:rPr>
          <w:rFonts w:ascii="Times New Roman" w:hAnsi="Times New Roman" w:eastAsia="仿宋" w:cs="Times New Roman"/>
          <w:kern w:val="0"/>
          <w:sz w:val="24"/>
          <w:szCs w:val="24"/>
        </w:rPr>
      </w:pPr>
      <w:r>
        <w:rPr>
          <w:rFonts w:ascii="Times New Roman" w:hAnsi="Times New Roman" w:eastAsia="仿宋" w:cs="Times New Roman"/>
          <w:kern w:val="0"/>
          <w:sz w:val="24"/>
          <w:szCs w:val="24"/>
        </w:rPr>
        <w:t>9月10日：学院推免生材料审核专家小组组织学生进行公开答辩，对创新成果的真实性进行审核鉴定。</w:t>
      </w:r>
    </w:p>
    <w:p w14:paraId="5C5161F3">
      <w:pPr>
        <w:tabs>
          <w:tab w:val="left" w:pos="1400"/>
        </w:tabs>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kern w:val="0"/>
          <w:sz w:val="24"/>
          <w:szCs w:val="24"/>
        </w:rPr>
        <w:t>9月11日：学院审核并进行推免生候选人评选、推荐工作。</w:t>
      </w:r>
    </w:p>
    <w:p w14:paraId="39277BCC">
      <w:pPr>
        <w:spacing w:line="360" w:lineRule="auto"/>
        <w:ind w:firstLine="480" w:firstLineChars="200"/>
        <w:rPr>
          <w:rFonts w:ascii="Times New Roman" w:hAnsi="Times New Roman" w:eastAsia="仿宋" w:cs="Times New Roman"/>
          <w:sz w:val="24"/>
          <w:szCs w:val="24"/>
        </w:rPr>
      </w:pPr>
      <w:r>
        <w:rPr>
          <w:rFonts w:ascii="Times New Roman" w:hAnsi="Times New Roman" w:eastAsia="仿宋" w:cs="Times New Roman"/>
          <w:kern w:val="0"/>
          <w:sz w:val="24"/>
          <w:szCs w:val="24"/>
        </w:rPr>
        <w:t>9月11日-9月14日上午：在</w:t>
      </w:r>
      <w:r>
        <w:rPr>
          <w:rFonts w:hint="eastAsia" w:ascii="Times New Roman" w:hAnsi="Times New Roman" w:eastAsia="仿宋" w:cs="Times New Roman"/>
          <w:kern w:val="0"/>
          <w:sz w:val="24"/>
          <w:szCs w:val="24"/>
        </w:rPr>
        <w:t>3号</w:t>
      </w:r>
      <w:r>
        <w:rPr>
          <w:rFonts w:ascii="Times New Roman" w:hAnsi="Times New Roman" w:eastAsia="仿宋" w:cs="Times New Roman"/>
          <w:kern w:val="0"/>
          <w:sz w:val="24"/>
          <w:szCs w:val="24"/>
        </w:rPr>
        <w:t>学院</w:t>
      </w:r>
      <w:r>
        <w:rPr>
          <w:rFonts w:hint="eastAsia" w:ascii="Times New Roman" w:hAnsi="Times New Roman" w:eastAsia="仿宋" w:cs="Times New Roman"/>
          <w:kern w:val="0"/>
          <w:sz w:val="24"/>
          <w:szCs w:val="24"/>
        </w:rPr>
        <w:t>楼化学与化工学院</w:t>
      </w:r>
      <w:r>
        <w:rPr>
          <w:rFonts w:ascii="Times New Roman" w:hAnsi="Times New Roman" w:eastAsia="仿宋" w:cs="Times New Roman"/>
          <w:sz w:val="24"/>
          <w:szCs w:val="24"/>
        </w:rPr>
        <w:t>大厅</w:t>
      </w:r>
      <w:r>
        <w:rPr>
          <w:rFonts w:ascii="Times New Roman" w:hAnsi="Times New Roman" w:eastAsia="仿宋" w:cs="Times New Roman"/>
          <w:kern w:val="0"/>
          <w:sz w:val="24"/>
          <w:szCs w:val="24"/>
        </w:rPr>
        <w:t>公示推免生候选人名单。</w:t>
      </w:r>
    </w:p>
    <w:p w14:paraId="3AC516C1">
      <w:pPr>
        <w:ind w:firstLine="464" w:firstLineChars="200"/>
        <w:rPr>
          <w:rFonts w:ascii="Times New Roman" w:hAnsi="Times New Roman" w:eastAsia="仿宋" w:cs="Times New Roman"/>
        </w:rPr>
      </w:pPr>
      <w:r>
        <w:rPr>
          <w:rFonts w:ascii="Times New Roman" w:hAnsi="Times New Roman" w:eastAsia="仿宋" w:cs="Times New Roman"/>
          <w:bCs/>
          <w:spacing w:val="-4"/>
          <w:sz w:val="24"/>
          <w:szCs w:val="24"/>
        </w:rPr>
        <w:t>学院将公示无异议的名单及相关材料上报学校。</w:t>
      </w:r>
    </w:p>
    <w:p w14:paraId="3606B531">
      <w:pPr>
        <w:widowControl/>
        <w:numPr>
          <w:ilvl w:val="0"/>
          <w:numId w:val="3"/>
        </w:numPr>
        <w:kinsoku w:val="0"/>
        <w:autoSpaceDE w:val="0"/>
        <w:autoSpaceDN w:val="0"/>
        <w:adjustRightInd w:val="0"/>
        <w:snapToGrid w:val="0"/>
        <w:spacing w:before="78" w:line="360" w:lineRule="auto"/>
        <w:jc w:val="left"/>
        <w:textAlignment w:val="baseline"/>
        <w:outlineLvl w:val="1"/>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其他</w:t>
      </w:r>
    </w:p>
    <w:p w14:paraId="3A61F2CA">
      <w:pPr>
        <w:spacing w:line="360" w:lineRule="auto"/>
        <w:ind w:firstLine="480" w:firstLineChars="200"/>
        <w:outlineLvl w:val="1"/>
        <w:rPr>
          <w:rFonts w:ascii="Times New Roman" w:hAnsi="Times New Roman" w:eastAsia="仿宋" w:cs="Times New Roman"/>
          <w:b/>
          <w:bCs/>
          <w:spacing w:val="-4"/>
          <w:sz w:val="24"/>
          <w:szCs w:val="24"/>
        </w:rPr>
      </w:pPr>
      <w:r>
        <w:rPr>
          <w:rFonts w:ascii="Times New Roman" w:hAnsi="Times New Roman" w:eastAsia="仿宋" w:cs="Times New Roman"/>
          <w:sz w:val="24"/>
          <w:szCs w:val="24"/>
        </w:rPr>
        <w:t>未尽事宜由学院推免生推荐工作领导小组研究决定，实施过程中，如上级部门出台新的推免政策或工作要求，本办法将做相应调整并另行通知。</w:t>
      </w:r>
    </w:p>
    <w:p w14:paraId="5AAC0EFD">
      <w:pPr>
        <w:spacing w:before="78" w:line="360" w:lineRule="auto"/>
        <w:ind w:left="20"/>
        <w:outlineLvl w:val="1"/>
        <w:rPr>
          <w:rFonts w:ascii="Times New Roman" w:hAnsi="Times New Roman" w:eastAsia="仿宋" w:cs="Times New Roman"/>
          <w:sz w:val="24"/>
          <w:szCs w:val="24"/>
        </w:rPr>
      </w:pPr>
      <w:r>
        <w:rPr>
          <w:rFonts w:ascii="Times New Roman" w:hAnsi="Times New Roman" w:eastAsia="仿宋" w:cs="Times New Roman"/>
          <w:b/>
          <w:bCs/>
          <w:spacing w:val="-3"/>
          <w:sz w:val="24"/>
          <w:szCs w:val="24"/>
        </w:rPr>
        <w:t>九、学院推免工作联系方式</w:t>
      </w:r>
    </w:p>
    <w:p w14:paraId="15C7F76C">
      <w:pPr>
        <w:pStyle w:val="3"/>
        <w:spacing w:line="360" w:lineRule="auto"/>
        <w:ind w:firstLine="476"/>
        <w:rPr>
          <w:rFonts w:ascii="Times New Roman" w:hAnsi="Times New Roman" w:eastAsia="仿宋" w:cs="Times New Roman"/>
          <w:color w:val="auto"/>
          <w:spacing w:val="-1"/>
          <w:sz w:val="24"/>
          <w:szCs w:val="24"/>
          <w:lang w:eastAsia="zh-CN"/>
        </w:rPr>
      </w:pPr>
      <w:r>
        <w:rPr>
          <w:rFonts w:ascii="Times New Roman" w:hAnsi="Times New Roman" w:eastAsia="仿宋" w:cs="Times New Roman"/>
          <w:color w:val="auto"/>
          <w:spacing w:val="-1"/>
          <w:sz w:val="24"/>
          <w:szCs w:val="24"/>
          <w:lang w:eastAsia="zh-CN"/>
        </w:rPr>
        <w:t>工作联系人：</w:t>
      </w:r>
      <w:r>
        <w:rPr>
          <w:rFonts w:hint="eastAsia" w:ascii="Times New Roman" w:hAnsi="Times New Roman" w:eastAsia="仿宋" w:cs="Times New Roman"/>
          <w:color w:val="auto"/>
          <w:spacing w:val="-1"/>
          <w:sz w:val="24"/>
          <w:szCs w:val="24"/>
          <w:lang w:eastAsia="zh-CN"/>
        </w:rPr>
        <w:t>刘瑞伶</w:t>
      </w:r>
    </w:p>
    <w:p w14:paraId="336BB936">
      <w:pPr>
        <w:pStyle w:val="3"/>
        <w:spacing w:line="360" w:lineRule="auto"/>
        <w:ind w:firstLine="476"/>
        <w:rPr>
          <w:rFonts w:ascii="Times New Roman" w:hAnsi="Times New Roman" w:eastAsia="仿宋" w:cs="Times New Roman"/>
          <w:color w:val="auto"/>
          <w:spacing w:val="-1"/>
          <w:sz w:val="24"/>
          <w:szCs w:val="24"/>
          <w:lang w:eastAsia="zh-CN"/>
        </w:rPr>
      </w:pPr>
      <w:r>
        <w:rPr>
          <w:rFonts w:ascii="Times New Roman" w:hAnsi="Times New Roman" w:eastAsia="仿宋" w:cs="Times New Roman"/>
          <w:color w:val="auto"/>
          <w:spacing w:val="-1"/>
          <w:sz w:val="24"/>
          <w:szCs w:val="24"/>
          <w:lang w:eastAsia="zh-CN"/>
        </w:rPr>
        <w:t>工作联系电话：67792598</w:t>
      </w:r>
    </w:p>
    <w:p w14:paraId="46AD1154">
      <w:pPr>
        <w:pStyle w:val="3"/>
        <w:spacing w:line="360" w:lineRule="auto"/>
        <w:ind w:firstLine="476"/>
        <w:rPr>
          <w:rFonts w:ascii="Times New Roman" w:hAnsi="Times New Roman" w:eastAsia="仿宋" w:cs="Times New Roman"/>
          <w:color w:val="auto"/>
          <w:spacing w:val="-1"/>
          <w:sz w:val="24"/>
          <w:szCs w:val="24"/>
          <w:lang w:eastAsia="zh-CN"/>
        </w:rPr>
      </w:pPr>
      <w:r>
        <w:rPr>
          <w:rFonts w:ascii="Times New Roman" w:hAnsi="Times New Roman" w:eastAsia="仿宋" w:cs="Times New Roman"/>
          <w:color w:val="auto"/>
          <w:spacing w:val="-1"/>
          <w:sz w:val="24"/>
          <w:szCs w:val="24"/>
          <w:lang w:eastAsia="zh-CN"/>
        </w:rPr>
        <w:t>监督电话：67792612</w:t>
      </w:r>
    </w:p>
    <w:p w14:paraId="787E8CA4">
      <w:pPr>
        <w:pStyle w:val="3"/>
        <w:spacing w:line="360" w:lineRule="auto"/>
        <w:ind w:firstLine="472"/>
        <w:rPr>
          <w:rFonts w:ascii="Times New Roman" w:hAnsi="Times New Roman" w:eastAsia="仿宋" w:cs="Times New Roman"/>
          <w:color w:val="auto"/>
          <w:spacing w:val="-2"/>
          <w:sz w:val="24"/>
          <w:szCs w:val="24"/>
          <w:lang w:eastAsia="zh-CN"/>
        </w:rPr>
      </w:pPr>
      <w:r>
        <w:rPr>
          <w:rFonts w:ascii="Times New Roman" w:hAnsi="Times New Roman" w:eastAsia="仿宋" w:cs="Times New Roman"/>
          <w:color w:val="auto"/>
          <w:spacing w:val="-2"/>
          <w:sz w:val="24"/>
          <w:szCs w:val="24"/>
          <w:lang w:eastAsia="zh-CN"/>
        </w:rPr>
        <w:t>电子邮箱：liuruiling @dhu.edu.cn</w:t>
      </w:r>
    </w:p>
    <w:p w14:paraId="29E67A92">
      <w:pPr>
        <w:pStyle w:val="3"/>
        <w:spacing w:line="360" w:lineRule="auto"/>
        <w:ind w:left="24" w:firstLine="472"/>
        <w:rPr>
          <w:rFonts w:ascii="Times New Roman" w:hAnsi="Times New Roman" w:eastAsia="仿宋" w:cs="Times New Roman"/>
          <w:color w:val="auto"/>
          <w:spacing w:val="-2"/>
          <w:sz w:val="24"/>
          <w:szCs w:val="24"/>
          <w:lang w:eastAsia="zh-CN"/>
        </w:rPr>
      </w:pPr>
      <w:r>
        <w:rPr>
          <w:rFonts w:ascii="Times New Roman" w:hAnsi="Times New Roman" w:eastAsia="仿宋" w:cs="Times New Roman"/>
          <w:color w:val="auto"/>
          <w:spacing w:val="-2"/>
          <w:sz w:val="24"/>
          <w:szCs w:val="24"/>
          <w:lang w:eastAsia="zh-CN"/>
        </w:rPr>
        <w:t>办公时间和地点：工作日上班时间，3号学院楼4083</w:t>
      </w:r>
    </w:p>
    <w:p w14:paraId="09F90AC9">
      <w:pPr>
        <w:spacing w:line="360" w:lineRule="auto"/>
        <w:rPr>
          <w:rFonts w:ascii="Times New Roman" w:hAnsi="Times New Roman" w:eastAsia="仿宋" w:cs="Times New Roman"/>
          <w:sz w:val="24"/>
          <w:szCs w:val="24"/>
        </w:rPr>
      </w:pPr>
      <w:r>
        <w:rPr>
          <w:rStyle w:val="11"/>
          <w:rFonts w:ascii="Times New Roman" w:hAnsi="Times New Roman" w:eastAsia="仿宋" w:cs="Times New Roman"/>
          <w:sz w:val="24"/>
          <w:szCs w:val="24"/>
        </w:rPr>
        <w:t>十、本细则由学</w:t>
      </w:r>
      <w:r>
        <w:rPr>
          <w:rFonts w:ascii="Times New Roman" w:hAnsi="Times New Roman" w:eastAsia="仿宋" w:cs="Times New Roman"/>
          <w:b/>
          <w:sz w:val="24"/>
          <w:szCs w:val="24"/>
        </w:rPr>
        <w:t>院推免生推荐工作领导小组</w:t>
      </w:r>
      <w:r>
        <w:rPr>
          <w:rStyle w:val="11"/>
          <w:rFonts w:ascii="Times New Roman" w:hAnsi="Times New Roman" w:eastAsia="仿宋" w:cs="Times New Roman"/>
          <w:sz w:val="24"/>
          <w:szCs w:val="24"/>
        </w:rPr>
        <w:t>审议通过后执行，解释权归学</w:t>
      </w:r>
      <w:r>
        <w:rPr>
          <w:rFonts w:ascii="Times New Roman" w:hAnsi="Times New Roman" w:eastAsia="仿宋" w:cs="Times New Roman"/>
          <w:b/>
          <w:sz w:val="24"/>
          <w:szCs w:val="24"/>
        </w:rPr>
        <w:t>院推免生推荐工作领导小组所有。</w:t>
      </w:r>
    </w:p>
    <w:p w14:paraId="321F6908">
      <w:pPr>
        <w:pStyle w:val="3"/>
        <w:spacing w:line="360" w:lineRule="auto"/>
        <w:ind w:right="8" w:firstLine="426"/>
        <w:jc w:val="right"/>
        <w:rPr>
          <w:rFonts w:ascii="Times New Roman" w:hAnsi="Times New Roman" w:eastAsia="仿宋" w:cs="Times New Roman"/>
          <w:b/>
          <w:bCs/>
          <w:color w:val="auto"/>
          <w:spacing w:val="-14"/>
          <w:sz w:val="24"/>
          <w:szCs w:val="24"/>
          <w:lang w:eastAsia="zh-CN"/>
        </w:rPr>
      </w:pPr>
    </w:p>
    <w:p w14:paraId="7A0D3198">
      <w:pPr>
        <w:pStyle w:val="3"/>
        <w:spacing w:line="360" w:lineRule="auto"/>
        <w:ind w:right="8" w:firstLine="426"/>
        <w:jc w:val="right"/>
        <w:rPr>
          <w:rFonts w:ascii="Times New Roman" w:hAnsi="Times New Roman" w:eastAsia="仿宋" w:cs="Times New Roman"/>
          <w:color w:val="auto"/>
          <w:sz w:val="24"/>
          <w:szCs w:val="24"/>
          <w:lang w:eastAsia="zh-CN"/>
        </w:rPr>
      </w:pPr>
      <w:r>
        <w:rPr>
          <w:rFonts w:ascii="Times New Roman" w:hAnsi="Times New Roman" w:eastAsia="仿宋" w:cs="Times New Roman"/>
          <w:b/>
          <w:bCs/>
          <w:color w:val="auto"/>
          <w:spacing w:val="-14"/>
          <w:sz w:val="24"/>
          <w:szCs w:val="24"/>
          <w:lang w:eastAsia="zh-CN"/>
        </w:rPr>
        <w:t>学  院</w:t>
      </w:r>
      <w:r>
        <w:rPr>
          <w:rFonts w:ascii="Times New Roman" w:hAnsi="Times New Roman" w:eastAsia="仿宋" w:cs="Times New Roman"/>
          <w:b/>
          <w:bCs/>
          <w:color w:val="auto"/>
          <w:spacing w:val="-10"/>
          <w:sz w:val="24"/>
          <w:szCs w:val="24"/>
          <w:lang w:eastAsia="zh-CN"/>
        </w:rPr>
        <w:t>：</w:t>
      </w:r>
      <w:r>
        <w:rPr>
          <w:rFonts w:ascii="Times New Roman" w:hAnsi="Times New Roman" w:eastAsia="仿宋" w:cs="Times New Roman"/>
          <w:color w:val="auto"/>
          <w:spacing w:val="1"/>
          <w:sz w:val="24"/>
          <w:szCs w:val="24"/>
          <w:lang w:eastAsia="zh-CN"/>
        </w:rPr>
        <w:t xml:space="preserve">     </w:t>
      </w:r>
      <w:r>
        <w:rPr>
          <w:rFonts w:ascii="Times New Roman" w:hAnsi="Times New Roman" w:eastAsia="仿宋" w:cs="Times New Roman"/>
          <w:b/>
          <w:bCs/>
          <w:color w:val="auto"/>
          <w:spacing w:val="-10"/>
          <w:sz w:val="24"/>
          <w:szCs w:val="24"/>
          <w:lang w:eastAsia="zh-CN"/>
        </w:rPr>
        <w:t>（</w:t>
      </w:r>
      <w:r>
        <w:rPr>
          <w:rFonts w:ascii="Times New Roman" w:hAnsi="Times New Roman" w:eastAsia="仿宋" w:cs="Times New Roman"/>
          <w:b/>
          <w:bCs/>
          <w:color w:val="auto"/>
          <w:spacing w:val="-14"/>
          <w:sz w:val="24"/>
          <w:szCs w:val="24"/>
          <w:lang w:eastAsia="zh-CN"/>
        </w:rPr>
        <w:t>公</w:t>
      </w:r>
      <w:r>
        <w:rPr>
          <w:rFonts w:ascii="Times New Roman" w:hAnsi="Times New Roman" w:eastAsia="仿宋" w:cs="Times New Roman"/>
          <w:color w:val="auto"/>
          <w:spacing w:val="35"/>
          <w:sz w:val="24"/>
          <w:szCs w:val="24"/>
          <w:lang w:eastAsia="zh-CN"/>
        </w:rPr>
        <w:t xml:space="preserve"> </w:t>
      </w:r>
      <w:r>
        <w:rPr>
          <w:rFonts w:ascii="Times New Roman" w:hAnsi="Times New Roman" w:eastAsia="仿宋" w:cs="Times New Roman"/>
          <w:b/>
          <w:bCs/>
          <w:color w:val="auto"/>
          <w:spacing w:val="-14"/>
          <w:sz w:val="24"/>
          <w:szCs w:val="24"/>
          <w:lang w:eastAsia="zh-CN"/>
        </w:rPr>
        <w:t>章）</w:t>
      </w:r>
    </w:p>
    <w:p w14:paraId="67347E51">
      <w:pPr>
        <w:pStyle w:val="3"/>
        <w:spacing w:before="182" w:line="360" w:lineRule="auto"/>
        <w:ind w:left="5542" w:firstLine="217" w:firstLineChars="100"/>
        <w:rPr>
          <w:rFonts w:ascii="Times New Roman" w:hAnsi="Times New Roman" w:eastAsia="仿宋" w:cs="Times New Roman"/>
          <w:color w:val="auto"/>
          <w:sz w:val="24"/>
          <w:szCs w:val="24"/>
          <w:lang w:eastAsia="zh-CN"/>
        </w:rPr>
      </w:pPr>
      <w:r>
        <w:rPr>
          <w:rFonts w:ascii="Times New Roman" w:hAnsi="Times New Roman" w:eastAsia="仿宋" w:cs="Times New Roman"/>
          <w:b/>
          <w:bCs/>
          <w:color w:val="auto"/>
          <w:spacing w:val="-12"/>
          <w:sz w:val="24"/>
          <w:szCs w:val="24"/>
          <w:lang w:eastAsia="zh-CN"/>
        </w:rPr>
        <w:t>日</w:t>
      </w:r>
      <w:r>
        <w:rPr>
          <w:rFonts w:ascii="Times New Roman" w:hAnsi="Times New Roman" w:eastAsia="仿宋" w:cs="Times New Roman"/>
          <w:color w:val="auto"/>
          <w:spacing w:val="11"/>
          <w:sz w:val="24"/>
          <w:szCs w:val="24"/>
          <w:lang w:eastAsia="zh-CN"/>
        </w:rPr>
        <w:t xml:space="preserve">  </w:t>
      </w:r>
      <w:r>
        <w:rPr>
          <w:rFonts w:ascii="Times New Roman" w:hAnsi="Times New Roman" w:eastAsia="仿宋" w:cs="Times New Roman"/>
          <w:b/>
          <w:bCs/>
          <w:color w:val="auto"/>
          <w:spacing w:val="-12"/>
          <w:sz w:val="24"/>
          <w:szCs w:val="24"/>
          <w:lang w:eastAsia="zh-CN"/>
        </w:rPr>
        <w:t>期：</w:t>
      </w:r>
    </w:p>
    <w:p w14:paraId="63DECB0E">
      <w:pPr>
        <w:spacing w:before="78" w:line="360" w:lineRule="auto"/>
        <w:outlineLvl w:val="1"/>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附件：</w:t>
      </w:r>
    </w:p>
    <w:p w14:paraId="7520CBEC">
      <w:pPr>
        <w:spacing w:line="360" w:lineRule="auto"/>
        <w:ind w:firstLine="466" w:firstLineChars="200"/>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1.</w:t>
      </w:r>
      <w:r>
        <w:rPr>
          <w:rFonts w:hint="eastAsia" w:ascii="Times New Roman" w:hAnsi="Times New Roman" w:eastAsia="仿宋" w:cs="Times New Roman"/>
          <w:b/>
          <w:bCs/>
          <w:spacing w:val="-4"/>
          <w:sz w:val="24"/>
          <w:szCs w:val="24"/>
        </w:rPr>
        <w:t>《东华大学</w:t>
      </w:r>
      <w:r>
        <w:rPr>
          <w:rFonts w:ascii="Times New Roman" w:hAnsi="Times New Roman" w:eastAsia="仿宋" w:cs="Times New Roman"/>
          <w:b/>
          <w:bCs/>
          <w:spacing w:val="-4"/>
          <w:sz w:val="24"/>
          <w:szCs w:val="24"/>
        </w:rPr>
        <w:t>2027年推荐优秀应届本科毕业生免试攻读研究生实施办法》</w:t>
      </w:r>
    </w:p>
    <w:p w14:paraId="063C15E6">
      <w:pPr>
        <w:spacing w:line="360" w:lineRule="auto"/>
        <w:ind w:firstLine="424" w:firstLineChars="182"/>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2.东华大学推荐免试攻读研究生资格申请表</w:t>
      </w:r>
    </w:p>
    <w:p w14:paraId="0B6FFD8F">
      <w:pPr>
        <w:spacing w:line="360" w:lineRule="auto"/>
        <w:ind w:firstLine="424" w:firstLineChars="182"/>
        <w:rPr>
          <w:rFonts w:ascii="Times New Roman" w:hAnsi="Times New Roman" w:eastAsia="仿宋" w:cs="Times New Roman"/>
          <w:b/>
          <w:bCs/>
          <w:spacing w:val="-4"/>
          <w:sz w:val="24"/>
          <w:szCs w:val="24"/>
        </w:rPr>
      </w:pPr>
      <w:r>
        <w:rPr>
          <w:rFonts w:ascii="Times New Roman" w:hAnsi="Times New Roman" w:eastAsia="仿宋" w:cs="Times New Roman"/>
          <w:b/>
          <w:bCs/>
          <w:spacing w:val="-4"/>
          <w:sz w:val="24"/>
          <w:szCs w:val="24"/>
        </w:rPr>
        <w:t>3.</w:t>
      </w:r>
      <w:r>
        <w:rPr>
          <w:rFonts w:hint="eastAsia" w:ascii="Times New Roman" w:hAnsi="Times New Roman" w:eastAsia="仿宋" w:cs="Times New Roman"/>
          <w:b/>
          <w:bCs/>
          <w:spacing w:val="-4"/>
          <w:sz w:val="24"/>
          <w:szCs w:val="24"/>
        </w:rPr>
        <w:t>东华大学化学与化工学院专项推免计划申请承诺书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57B246"/>
    <w:multiLevelType w:val="singleLevel"/>
    <w:tmpl w:val="E557B246"/>
    <w:lvl w:ilvl="0" w:tentative="0">
      <w:start w:val="8"/>
      <w:numFmt w:val="chineseCounting"/>
      <w:suff w:val="nothing"/>
      <w:lvlText w:val="%1、"/>
      <w:lvlJc w:val="left"/>
      <w:rPr>
        <w:rFonts w:hint="eastAsia"/>
      </w:rPr>
    </w:lvl>
  </w:abstractNum>
  <w:abstractNum w:abstractNumId="1">
    <w:nsid w:val="0DE18A17"/>
    <w:multiLevelType w:val="singleLevel"/>
    <w:tmpl w:val="0DE18A17"/>
    <w:lvl w:ilvl="0" w:tentative="0">
      <w:start w:val="1"/>
      <w:numFmt w:val="chineseCounting"/>
      <w:suff w:val="nothing"/>
      <w:lvlText w:val="（%1）"/>
      <w:lvlJc w:val="left"/>
      <w:pPr>
        <w:ind w:left="0" w:firstLine="420"/>
      </w:pPr>
      <w:rPr>
        <w:rFonts w:hint="eastAsia"/>
        <w:b/>
        <w:bCs/>
      </w:rPr>
    </w:lvl>
  </w:abstractNum>
  <w:abstractNum w:abstractNumId="2">
    <w:nsid w:val="61C347E9"/>
    <w:multiLevelType w:val="multilevel"/>
    <w:tmpl w:val="61C347E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Y2I2YjIxYzg0YmM2YjI0NWZkNzBiNjZjNmViNDcifQ=="/>
  </w:docVars>
  <w:rsids>
    <w:rsidRoot w:val="00D77382"/>
    <w:rsid w:val="00003465"/>
    <w:rsid w:val="00024BDF"/>
    <w:rsid w:val="0004758E"/>
    <w:rsid w:val="000665F2"/>
    <w:rsid w:val="00081F02"/>
    <w:rsid w:val="000831AF"/>
    <w:rsid w:val="00097F09"/>
    <w:rsid w:val="000A092D"/>
    <w:rsid w:val="000B216A"/>
    <w:rsid w:val="000C0DCF"/>
    <w:rsid w:val="000C468A"/>
    <w:rsid w:val="000D6C3B"/>
    <w:rsid w:val="000F2559"/>
    <w:rsid w:val="001350BF"/>
    <w:rsid w:val="00135A12"/>
    <w:rsid w:val="00145F38"/>
    <w:rsid w:val="001659E1"/>
    <w:rsid w:val="00193D04"/>
    <w:rsid w:val="001962B5"/>
    <w:rsid w:val="001A67E5"/>
    <w:rsid w:val="001B39C6"/>
    <w:rsid w:val="001D33B0"/>
    <w:rsid w:val="00201389"/>
    <w:rsid w:val="00207491"/>
    <w:rsid w:val="002151F3"/>
    <w:rsid w:val="00215C7D"/>
    <w:rsid w:val="0024707D"/>
    <w:rsid w:val="00255031"/>
    <w:rsid w:val="00260E68"/>
    <w:rsid w:val="0028660C"/>
    <w:rsid w:val="00287CC0"/>
    <w:rsid w:val="00296B98"/>
    <w:rsid w:val="002A10E6"/>
    <w:rsid w:val="002A6891"/>
    <w:rsid w:val="002C10D2"/>
    <w:rsid w:val="002C4B39"/>
    <w:rsid w:val="002E4034"/>
    <w:rsid w:val="002F1ADA"/>
    <w:rsid w:val="00320B41"/>
    <w:rsid w:val="00330DC0"/>
    <w:rsid w:val="00360F88"/>
    <w:rsid w:val="00364675"/>
    <w:rsid w:val="003649EC"/>
    <w:rsid w:val="003868E7"/>
    <w:rsid w:val="003965E9"/>
    <w:rsid w:val="003E074E"/>
    <w:rsid w:val="003E7BDA"/>
    <w:rsid w:val="00466A14"/>
    <w:rsid w:val="004753CE"/>
    <w:rsid w:val="00477586"/>
    <w:rsid w:val="004B72C5"/>
    <w:rsid w:val="004C5A76"/>
    <w:rsid w:val="004D3AFA"/>
    <w:rsid w:val="00514257"/>
    <w:rsid w:val="00527B45"/>
    <w:rsid w:val="005341D2"/>
    <w:rsid w:val="00564325"/>
    <w:rsid w:val="005677FD"/>
    <w:rsid w:val="00572164"/>
    <w:rsid w:val="00573543"/>
    <w:rsid w:val="0058191B"/>
    <w:rsid w:val="00594618"/>
    <w:rsid w:val="0059564E"/>
    <w:rsid w:val="00621E20"/>
    <w:rsid w:val="00623445"/>
    <w:rsid w:val="00641F7C"/>
    <w:rsid w:val="006728C0"/>
    <w:rsid w:val="006A1A14"/>
    <w:rsid w:val="006C32E8"/>
    <w:rsid w:val="006C3F31"/>
    <w:rsid w:val="006C50A6"/>
    <w:rsid w:val="006D05D5"/>
    <w:rsid w:val="006E23F9"/>
    <w:rsid w:val="006F5608"/>
    <w:rsid w:val="00741D52"/>
    <w:rsid w:val="007D5168"/>
    <w:rsid w:val="007D7F2A"/>
    <w:rsid w:val="00803E5A"/>
    <w:rsid w:val="00806E1A"/>
    <w:rsid w:val="00811261"/>
    <w:rsid w:val="0081144A"/>
    <w:rsid w:val="0081190F"/>
    <w:rsid w:val="00812AF0"/>
    <w:rsid w:val="00816EF3"/>
    <w:rsid w:val="0083646E"/>
    <w:rsid w:val="00842A02"/>
    <w:rsid w:val="008570EE"/>
    <w:rsid w:val="008619C9"/>
    <w:rsid w:val="00877240"/>
    <w:rsid w:val="0088639D"/>
    <w:rsid w:val="008A1A6E"/>
    <w:rsid w:val="008A6360"/>
    <w:rsid w:val="008B195C"/>
    <w:rsid w:val="008C75B0"/>
    <w:rsid w:val="008F1884"/>
    <w:rsid w:val="008F1F57"/>
    <w:rsid w:val="008F3F15"/>
    <w:rsid w:val="009130D2"/>
    <w:rsid w:val="00937FB0"/>
    <w:rsid w:val="009416F3"/>
    <w:rsid w:val="009464E1"/>
    <w:rsid w:val="0095768C"/>
    <w:rsid w:val="00963000"/>
    <w:rsid w:val="00967341"/>
    <w:rsid w:val="0098530F"/>
    <w:rsid w:val="009A7A28"/>
    <w:rsid w:val="009D4207"/>
    <w:rsid w:val="009E237F"/>
    <w:rsid w:val="009E3317"/>
    <w:rsid w:val="009F2BA2"/>
    <w:rsid w:val="00A03185"/>
    <w:rsid w:val="00A25643"/>
    <w:rsid w:val="00A2737B"/>
    <w:rsid w:val="00A66134"/>
    <w:rsid w:val="00A7346A"/>
    <w:rsid w:val="00A7677A"/>
    <w:rsid w:val="00AD7898"/>
    <w:rsid w:val="00AE11DB"/>
    <w:rsid w:val="00AE2C40"/>
    <w:rsid w:val="00B15D01"/>
    <w:rsid w:val="00B21230"/>
    <w:rsid w:val="00B2337E"/>
    <w:rsid w:val="00B47533"/>
    <w:rsid w:val="00B50680"/>
    <w:rsid w:val="00B807E1"/>
    <w:rsid w:val="00B84F0B"/>
    <w:rsid w:val="00B86EDC"/>
    <w:rsid w:val="00B91CC5"/>
    <w:rsid w:val="00B94D3D"/>
    <w:rsid w:val="00B960B1"/>
    <w:rsid w:val="00BA5D40"/>
    <w:rsid w:val="00BA7CC8"/>
    <w:rsid w:val="00BC058C"/>
    <w:rsid w:val="00BC1FD8"/>
    <w:rsid w:val="00BC37CB"/>
    <w:rsid w:val="00BE5EF8"/>
    <w:rsid w:val="00BF2680"/>
    <w:rsid w:val="00C26AAF"/>
    <w:rsid w:val="00C312BC"/>
    <w:rsid w:val="00C34D80"/>
    <w:rsid w:val="00C61E0D"/>
    <w:rsid w:val="00C67E93"/>
    <w:rsid w:val="00C743F0"/>
    <w:rsid w:val="00C7545B"/>
    <w:rsid w:val="00C94659"/>
    <w:rsid w:val="00CD2022"/>
    <w:rsid w:val="00CD5D4E"/>
    <w:rsid w:val="00D07FDF"/>
    <w:rsid w:val="00D13BEC"/>
    <w:rsid w:val="00D3360E"/>
    <w:rsid w:val="00D45DDD"/>
    <w:rsid w:val="00D50619"/>
    <w:rsid w:val="00D5715B"/>
    <w:rsid w:val="00D74628"/>
    <w:rsid w:val="00D77382"/>
    <w:rsid w:val="00D8717D"/>
    <w:rsid w:val="00D8733C"/>
    <w:rsid w:val="00D91F27"/>
    <w:rsid w:val="00DA047B"/>
    <w:rsid w:val="00DC4025"/>
    <w:rsid w:val="00DD4774"/>
    <w:rsid w:val="00DD71FE"/>
    <w:rsid w:val="00DF0C4E"/>
    <w:rsid w:val="00E00886"/>
    <w:rsid w:val="00E02322"/>
    <w:rsid w:val="00E05A19"/>
    <w:rsid w:val="00E23C66"/>
    <w:rsid w:val="00E92B5D"/>
    <w:rsid w:val="00E93AE7"/>
    <w:rsid w:val="00EA7A79"/>
    <w:rsid w:val="00ED4B70"/>
    <w:rsid w:val="00EE45B1"/>
    <w:rsid w:val="00EE5D30"/>
    <w:rsid w:val="00F15B09"/>
    <w:rsid w:val="00F17F67"/>
    <w:rsid w:val="00F26F7A"/>
    <w:rsid w:val="00F72A48"/>
    <w:rsid w:val="00F7521A"/>
    <w:rsid w:val="00FD7BD5"/>
    <w:rsid w:val="03D1609C"/>
    <w:rsid w:val="16B02545"/>
    <w:rsid w:val="1C737230"/>
    <w:rsid w:val="1ED55F80"/>
    <w:rsid w:val="26531005"/>
    <w:rsid w:val="2A680E6F"/>
    <w:rsid w:val="2CB03B88"/>
    <w:rsid w:val="2F0B1EA3"/>
    <w:rsid w:val="33791178"/>
    <w:rsid w:val="40526FD9"/>
    <w:rsid w:val="42766931"/>
    <w:rsid w:val="434A3CF5"/>
    <w:rsid w:val="489D0EB7"/>
    <w:rsid w:val="52361EE2"/>
    <w:rsid w:val="53834BEF"/>
    <w:rsid w:val="6CC17AFD"/>
    <w:rsid w:val="74CE0A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7"/>
    <w:autoRedefine/>
    <w:semiHidden/>
    <w:unhideWhenUsed/>
    <w:qFormat/>
    <w:uiPriority w:val="99"/>
    <w:pPr>
      <w:jc w:val="left"/>
    </w:pPr>
  </w:style>
  <w:style w:type="paragraph" w:styleId="3">
    <w:name w:val="Body Text"/>
    <w:basedOn w:val="1"/>
    <w:link w:val="20"/>
    <w:autoRedefine/>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Cs w:val="21"/>
      <w:lang w:eastAsia="en-US"/>
    </w:rPr>
  </w:style>
  <w:style w:type="paragraph" w:styleId="4">
    <w:name w:val="Balloon Text"/>
    <w:basedOn w:val="1"/>
    <w:link w:val="16"/>
    <w:autoRedefine/>
    <w:semiHidden/>
    <w:unhideWhenUsed/>
    <w:qFormat/>
    <w:uiPriority w:val="99"/>
    <w:rPr>
      <w:sz w:val="18"/>
      <w:szCs w:val="18"/>
    </w:rPr>
  </w:style>
  <w:style w:type="paragraph" w:styleId="5">
    <w:name w:val="footer"/>
    <w:basedOn w:val="1"/>
    <w:link w:val="15"/>
    <w:autoRedefine/>
    <w:unhideWhenUsed/>
    <w:qFormat/>
    <w:uiPriority w:val="99"/>
    <w:pPr>
      <w:tabs>
        <w:tab w:val="center" w:pos="4153"/>
        <w:tab w:val="right" w:pos="8306"/>
      </w:tabs>
      <w:snapToGrid w:val="0"/>
      <w:jc w:val="left"/>
    </w:pPr>
    <w:rPr>
      <w:sz w:val="18"/>
      <w:szCs w:val="18"/>
    </w:rPr>
  </w:style>
  <w:style w:type="paragraph" w:styleId="6">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8"/>
    <w:autoRedefine/>
    <w:semiHidden/>
    <w:unhideWhenUsed/>
    <w:qFormat/>
    <w:uiPriority w:val="99"/>
    <w:rPr>
      <w:b/>
      <w:bCs/>
    </w:rPr>
  </w:style>
  <w:style w:type="table" w:styleId="9">
    <w:name w:val="Table Grid"/>
    <w:basedOn w:val="8"/>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autoRedefine/>
    <w:qFormat/>
    <w:uiPriority w:val="0"/>
    <w:rPr>
      <w:b/>
    </w:rPr>
  </w:style>
  <w:style w:type="character" w:styleId="12">
    <w:name w:val="annotation reference"/>
    <w:basedOn w:val="10"/>
    <w:autoRedefine/>
    <w:semiHidden/>
    <w:unhideWhenUsed/>
    <w:qFormat/>
    <w:uiPriority w:val="99"/>
    <w:rPr>
      <w:sz w:val="21"/>
      <w:szCs w:val="21"/>
    </w:rPr>
  </w:style>
  <w:style w:type="paragraph" w:styleId="13">
    <w:name w:val="List Paragraph"/>
    <w:basedOn w:val="1"/>
    <w:autoRedefine/>
    <w:qFormat/>
    <w:uiPriority w:val="34"/>
    <w:pPr>
      <w:ind w:firstLine="420" w:firstLineChars="200"/>
    </w:pPr>
  </w:style>
  <w:style w:type="character" w:customStyle="1" w:styleId="14">
    <w:name w:val="页眉 字符"/>
    <w:basedOn w:val="10"/>
    <w:link w:val="6"/>
    <w:autoRedefine/>
    <w:qFormat/>
    <w:uiPriority w:val="99"/>
    <w:rPr>
      <w:sz w:val="18"/>
      <w:szCs w:val="18"/>
    </w:rPr>
  </w:style>
  <w:style w:type="character" w:customStyle="1" w:styleId="15">
    <w:name w:val="页脚 字符"/>
    <w:basedOn w:val="10"/>
    <w:link w:val="5"/>
    <w:autoRedefine/>
    <w:qFormat/>
    <w:uiPriority w:val="99"/>
    <w:rPr>
      <w:sz w:val="18"/>
      <w:szCs w:val="18"/>
    </w:rPr>
  </w:style>
  <w:style w:type="character" w:customStyle="1" w:styleId="16">
    <w:name w:val="批注框文本 字符"/>
    <w:basedOn w:val="10"/>
    <w:link w:val="4"/>
    <w:autoRedefine/>
    <w:semiHidden/>
    <w:qFormat/>
    <w:uiPriority w:val="99"/>
    <w:rPr>
      <w:sz w:val="18"/>
      <w:szCs w:val="18"/>
    </w:rPr>
  </w:style>
  <w:style w:type="character" w:customStyle="1" w:styleId="17">
    <w:name w:val="批注文字 字符"/>
    <w:basedOn w:val="10"/>
    <w:link w:val="2"/>
    <w:autoRedefine/>
    <w:semiHidden/>
    <w:qFormat/>
    <w:uiPriority w:val="99"/>
  </w:style>
  <w:style w:type="character" w:customStyle="1" w:styleId="18">
    <w:name w:val="批注主题 字符"/>
    <w:basedOn w:val="17"/>
    <w:link w:val="7"/>
    <w:autoRedefine/>
    <w:semiHidden/>
    <w:qFormat/>
    <w:uiPriority w:val="99"/>
    <w:rPr>
      <w:b/>
      <w:bCs/>
    </w:rPr>
  </w:style>
  <w:style w:type="paragraph" w:customStyle="1" w:styleId="19">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0">
    <w:name w:val="正文文本 字符"/>
    <w:basedOn w:val="10"/>
    <w:link w:val="3"/>
    <w:autoRedefine/>
    <w:semiHidden/>
    <w:qFormat/>
    <w:uiPriority w:val="0"/>
    <w:rPr>
      <w:rFonts w:ascii="宋体" w:hAnsi="宋体" w:eastAsia="宋体" w:cs="宋体"/>
      <w:snapToGrid w:val="0"/>
      <w:color w:val="000000"/>
      <w:kern w:val="0"/>
      <w:szCs w:val="21"/>
      <w:lang w:eastAsia="en-US"/>
    </w:rPr>
  </w:style>
  <w:style w:type="paragraph" w:customStyle="1" w:styleId="21">
    <w:name w:val="Default"/>
    <w:autoRedefine/>
    <w:qFormat/>
    <w:uiPriority w:val="0"/>
    <w:pPr>
      <w:widowControl w:val="0"/>
      <w:autoSpaceDE w:val="0"/>
      <w:autoSpaceDN w:val="0"/>
      <w:adjustRightInd w:val="0"/>
      <w:spacing w:line="360" w:lineRule="auto"/>
      <w:jc w:val="center"/>
    </w:pPr>
    <w:rPr>
      <w:rFonts w:ascii="微软雅黑" w:hAnsi="Times New Roman" w:eastAsia="微软雅黑" w:cs="微软雅黑"/>
      <w:b/>
      <w:bCs/>
      <w:color w:val="000000"/>
      <w:sz w:val="28"/>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3946</Words>
  <Characters>4098</Characters>
  <Lines>129</Lines>
  <Paragraphs>166</Paragraphs>
  <TotalTime>123</TotalTime>
  <ScaleCrop>false</ScaleCrop>
  <LinksUpToDate>false</LinksUpToDate>
  <CharactersWithSpaces>4126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2026-09-03T08:57:00Z</dcterms:created>
  <dc:creator>asus</dc:creator>
  <cp:lastModifiedBy>天秤座的ring</cp:lastModifiedBy>
  <cp:lastPrinted>2026-09-04T06:14:00Z</cp:lastPrinted>
  <dcterms:modified xsi:type="dcterms:W3CDTF">2026-09-07T01:21:55Z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1F1C1ED0EA954E14ADE21C3FA588DC48_13</vt:lpwstr>
  </property>
  <property fmtid="{D5CDD505-2E9C-101B-9397-08002B2CF9AE}" pid="4" name="KSOTemplateDocerSaveRecord">
    <vt:lpwstr>eyJoZGlkIjoiYzFlNGU3YmMxZDY2ZTljOTk2YTQ0YjUyMjc0NDBmNmIiLCJ1c2VySWQiOiI1NzMwMzU3NDQifQ==</vt:lpwstr>
  </property>
</Properties>
</file>