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8B845">
      <w:pPr>
        <w:pStyle w:val="2"/>
        <w:keepNext w:val="0"/>
        <w:keepLines w:val="0"/>
        <w:widowControl/>
        <w:suppressLineNumbers w:val="0"/>
        <w:shd w:val="clear" w:fill="FFFFFF"/>
        <w:spacing w:line="336" w:lineRule="atLeast"/>
        <w:jc w:val="center"/>
        <w:rPr>
          <w:rFonts w:ascii="Microsoft YaHei UI" w:hAnsi="Microsoft YaHei UI" w:eastAsia="Microsoft YaHei UI" w:cs="Microsoft YaHei UI"/>
          <w:spacing w:val="7"/>
        </w:rPr>
      </w:pPr>
      <w:bookmarkStart w:id="0" w:name="_GoBack"/>
      <w:r>
        <w:rPr>
          <w:rStyle w:val="19"/>
          <w:rFonts w:ascii="PingFangTC-light" w:hAnsi="PingFangTC-light" w:eastAsia="PingFangTC-light" w:cs="PingFangTC-light"/>
          <w:b/>
          <w:spacing w:val="7"/>
          <w:sz w:val="25"/>
          <w:szCs w:val="25"/>
          <w:shd w:val="clear" w:fill="FFFFFF"/>
        </w:rPr>
        <w:t>关于开展2024-2025学年度本专科学生</w:t>
      </w:r>
    </w:p>
    <w:p w14:paraId="2348895D">
      <w:pPr>
        <w:pStyle w:val="2"/>
        <w:keepNext w:val="0"/>
        <w:keepLines w:val="0"/>
        <w:widowControl/>
        <w:suppressLineNumbers w:val="0"/>
        <w:shd w:val="clear" w:fill="FFFFFF"/>
        <w:spacing w:line="336" w:lineRule="atLeast"/>
        <w:jc w:val="center"/>
        <w:rPr>
          <w:rFonts w:hint="eastAsia" w:ascii="Microsoft YaHei UI" w:hAnsi="Microsoft YaHei UI" w:eastAsia="Microsoft YaHei UI" w:cs="Microsoft YaHei UI"/>
          <w:spacing w:val="7"/>
        </w:rPr>
      </w:pPr>
      <w:r>
        <w:rPr>
          <w:rStyle w:val="19"/>
          <w:rFonts w:hint="default" w:ascii="PingFangTC-light" w:hAnsi="PingFangTC-light" w:eastAsia="PingFangTC-light" w:cs="PingFangTC-light"/>
          <w:b/>
          <w:spacing w:val="7"/>
          <w:sz w:val="28"/>
          <w:szCs w:val="28"/>
          <w:shd w:val="clear" w:fill="FFFFFF"/>
        </w:rPr>
        <w:t>转专业工作的通知</w:t>
      </w:r>
      <w:bookmarkEnd w:id="0"/>
    </w:p>
    <w:p w14:paraId="3B248FB7">
      <w:pPr>
        <w:keepNext w:val="0"/>
        <w:keepLines w:val="0"/>
        <w:widowControl/>
        <w:suppressLineNumbers w:val="0"/>
        <w:jc w:val="left"/>
      </w:pPr>
    </w:p>
    <w:p w14:paraId="1BEE9225">
      <w:pPr>
        <w:pStyle w:val="16"/>
        <w:keepNext w:val="0"/>
        <w:keepLines w:val="0"/>
        <w:widowControl/>
        <w:suppressLineNumbers w:val="0"/>
      </w:pPr>
      <w:r>
        <w:rPr>
          <w:rFonts w:ascii="微软雅黑" w:hAnsi="微软雅黑" w:eastAsia="微软雅黑" w:cs="微软雅黑"/>
          <w:sz w:val="21"/>
          <w:szCs w:val="21"/>
        </w:rPr>
        <w:t>根据学校转专业工作细则和教学工作安排，学校从本学期第</w:t>
      </w:r>
      <w:r>
        <w:rPr>
          <w:rFonts w:hint="eastAsia" w:ascii="微软雅黑" w:hAnsi="微软雅黑" w:eastAsia="微软雅黑" w:cs="微软雅黑"/>
          <w:sz w:val="21"/>
          <w:szCs w:val="21"/>
        </w:rPr>
        <w:t>12周起启动2024-2025学年度学生转专业工作，于第十周开始向各学院征集转专业的意向和计划，目前等待计划导入教务系统转专业流程，即将开始进入转专业的正式工作。</w:t>
      </w:r>
      <w:r>
        <w:rPr>
          <w:rFonts w:hint="eastAsia" w:ascii="微软雅黑" w:hAnsi="微软雅黑" w:eastAsia="微软雅黑" w:cs="微软雅黑"/>
          <w:color w:val="FF0000"/>
          <w:sz w:val="21"/>
          <w:szCs w:val="21"/>
        </w:rPr>
        <w:t>因学校决定以后转专业流程将转为线上操作，本次转专业工作做为测试流程，纸质申请表流程和线上流程将同步进行</w:t>
      </w:r>
      <w:r>
        <w:rPr>
          <w:rFonts w:hint="eastAsia" w:ascii="微软雅黑" w:hAnsi="微软雅黑" w:eastAsia="微软雅黑" w:cs="微软雅黑"/>
          <w:sz w:val="21"/>
          <w:szCs w:val="21"/>
        </w:rPr>
        <w:t>。具体操作流程如下：</w:t>
      </w:r>
    </w:p>
    <w:p w14:paraId="79B774D0">
      <w:pPr>
        <w:pStyle w:val="16"/>
        <w:keepNext w:val="0"/>
        <w:keepLines w:val="0"/>
        <w:widowControl/>
        <w:suppressLineNumbers w:val="0"/>
      </w:pPr>
      <w:r>
        <w:rPr>
          <w:rFonts w:hint="eastAsia" w:ascii="微软雅黑" w:hAnsi="微软雅黑" w:eastAsia="微软雅黑" w:cs="微软雅黑"/>
          <w:b/>
          <w:bCs/>
          <w:sz w:val="21"/>
          <w:szCs w:val="21"/>
        </w:rPr>
        <w:t>1.学生首先确认自身是否具备转专业基本条件。</w:t>
      </w:r>
    </w:p>
    <w:p w14:paraId="335B43F0">
      <w:pPr>
        <w:pStyle w:val="16"/>
        <w:keepNext w:val="0"/>
        <w:keepLines w:val="0"/>
        <w:widowControl/>
        <w:suppressLineNumbers w:val="0"/>
      </w:pPr>
      <w:r>
        <w:rPr>
          <w:rFonts w:hint="eastAsia" w:ascii="微软雅黑" w:hAnsi="微软雅黑" w:eastAsia="微软雅黑" w:cs="微软雅黑"/>
          <w:sz w:val="21"/>
          <w:szCs w:val="21"/>
        </w:rPr>
        <w:t>本科大一学生可以跨学科转专业；本科大二学生须在学科内转专业，中外合作班学生只允许在合作班专业内转专业。专科学生只能在一年级转专业。</w:t>
      </w:r>
    </w:p>
    <w:p w14:paraId="38E67B96">
      <w:pPr>
        <w:pStyle w:val="16"/>
        <w:keepNext w:val="0"/>
        <w:keepLines w:val="0"/>
        <w:widowControl/>
        <w:suppressLineNumbers w:val="0"/>
      </w:pPr>
      <w:r>
        <w:rPr>
          <w:rFonts w:hint="eastAsia" w:ascii="微软雅黑" w:hAnsi="微软雅黑" w:eastAsia="微软雅黑" w:cs="微软雅黑"/>
          <w:sz w:val="21"/>
          <w:szCs w:val="21"/>
        </w:rPr>
        <w:t>不能转专业的情形包括：①本科入学第三年（不含休学）及以上，②处于违纪处分期间，③定向或委托培养的学生（如中本贯通、中高职贯通等），④艺术类和非艺术类专业互转等。具体可以《学生转专业实施细则》（SJQU-WI-JW-603）中相关规定。</w:t>
      </w:r>
    </w:p>
    <w:p w14:paraId="0A216D62">
      <w:pPr>
        <w:pStyle w:val="16"/>
        <w:keepNext w:val="0"/>
        <w:keepLines w:val="0"/>
        <w:widowControl/>
        <w:suppressLineNumbers w:val="0"/>
      </w:pPr>
    </w:p>
    <w:p w14:paraId="730F6509">
      <w:pPr>
        <w:pStyle w:val="16"/>
        <w:keepNext w:val="0"/>
        <w:keepLines w:val="0"/>
        <w:widowControl/>
        <w:suppressLineNumbers w:val="0"/>
      </w:pPr>
      <w:r>
        <w:rPr>
          <w:rFonts w:hint="eastAsia" w:ascii="微软雅黑" w:hAnsi="微软雅黑" w:eastAsia="微软雅黑" w:cs="微软雅黑"/>
          <w:b/>
          <w:bCs/>
          <w:sz w:val="21"/>
          <w:szCs w:val="21"/>
        </w:rPr>
        <w:t>2.符合转专业条件的学生可根据个人意愿、自身条件以及“各专业接收学生转专业人数、条件、考核方式一览表”</w:t>
      </w:r>
      <w:r>
        <w:rPr>
          <w:rFonts w:hint="eastAsia" w:ascii="微软雅黑" w:hAnsi="微软雅黑" w:eastAsia="微软雅黑" w:cs="微软雅黑"/>
          <w:sz w:val="21"/>
          <w:szCs w:val="21"/>
        </w:rPr>
        <w:t>内相关要求和内容，选择拟转入专业。同时在学校工作台教务系统内转专业模块中填写线上申请。</w:t>
      </w:r>
    </w:p>
    <w:p w14:paraId="54CCF5A0">
      <w:pPr>
        <w:pStyle w:val="16"/>
        <w:keepNext w:val="0"/>
        <w:keepLines w:val="0"/>
        <w:widowControl/>
        <w:suppressLineNumbers w:val="0"/>
      </w:pPr>
      <w:r>
        <w:rPr>
          <w:rFonts w:hint="eastAsia" w:ascii="微软雅黑" w:hAnsi="微软雅黑" w:eastAsia="微软雅黑" w:cs="微软雅黑"/>
          <w:color w:val="FF0000"/>
          <w:sz w:val="21"/>
          <w:szCs w:val="21"/>
        </w:rPr>
        <w:t>特别注意：学生在校期间只允许一次转专业，转专业申请须慎重考虑。本次转专业涉及本科和专科（本专科转专业不再分时段进行）。学生需将申请表交至自己的学院，同时在网上填写相同内容，缺一不可。</w:t>
      </w:r>
    </w:p>
    <w:p w14:paraId="128CAAB8">
      <w:pPr>
        <w:pStyle w:val="16"/>
        <w:keepNext w:val="0"/>
        <w:keepLines w:val="0"/>
        <w:widowControl/>
        <w:suppressLineNumbers w:val="0"/>
      </w:pPr>
    </w:p>
    <w:p w14:paraId="163708E1">
      <w:pPr>
        <w:pStyle w:val="16"/>
        <w:keepNext w:val="0"/>
        <w:keepLines w:val="0"/>
        <w:widowControl/>
        <w:suppressLineNumbers w:val="0"/>
      </w:pPr>
      <w:r>
        <w:rPr>
          <w:rFonts w:hint="eastAsia" w:ascii="微软雅黑" w:hAnsi="微软雅黑" w:eastAsia="微软雅黑" w:cs="微软雅黑"/>
          <w:sz w:val="21"/>
          <w:szCs w:val="21"/>
        </w:rPr>
        <w:t>3.</w:t>
      </w:r>
      <w:r>
        <w:rPr>
          <w:rFonts w:hint="eastAsia" w:ascii="微软雅黑" w:hAnsi="微软雅黑" w:eastAsia="微软雅黑" w:cs="微软雅黑"/>
          <w:b/>
          <w:bCs/>
          <w:sz w:val="21"/>
          <w:szCs w:val="21"/>
        </w:rPr>
        <w:t>学生在本学期</w:t>
      </w:r>
      <w:r>
        <w:rPr>
          <w:rFonts w:hint="eastAsia" w:ascii="微软雅黑" w:hAnsi="微软雅黑" w:eastAsia="微软雅黑" w:cs="微软雅黑"/>
          <w:b/>
          <w:bCs/>
          <w:sz w:val="21"/>
          <w:szCs w:val="21"/>
          <w:shd w:val="clear" w:fill="FFFF00"/>
        </w:rPr>
        <w:t>第十五周（12月10日）</w:t>
      </w:r>
      <w:r>
        <w:rPr>
          <w:rFonts w:hint="eastAsia" w:ascii="微软雅黑" w:hAnsi="微软雅黑" w:eastAsia="微软雅黑" w:cs="微软雅黑"/>
          <w:b/>
          <w:bCs/>
          <w:sz w:val="21"/>
          <w:szCs w:val="21"/>
        </w:rPr>
        <w:t>前填妥《学生转专业申请表》</w:t>
      </w:r>
      <w:r>
        <w:rPr>
          <w:rFonts w:hint="eastAsia" w:ascii="微软雅黑" w:hAnsi="微软雅黑" w:eastAsia="微软雅黑" w:cs="微软雅黑"/>
          <w:sz w:val="21"/>
          <w:szCs w:val="21"/>
        </w:rPr>
        <w:t>（下载路径：https://iso.gench.edu.cn/2018/0503/c5691a67463/page.psp），并将表格交到辅导员，由辅导员汇总完毕后交至所在学院教务秘书处，各学院将收集的转专业申请表在</w:t>
      </w:r>
      <w:r>
        <w:rPr>
          <w:rFonts w:hint="eastAsia" w:ascii="微软雅黑" w:hAnsi="微软雅黑" w:eastAsia="微软雅黑" w:cs="微软雅黑"/>
          <w:sz w:val="21"/>
          <w:szCs w:val="21"/>
          <w:shd w:val="clear" w:fill="FFFF00"/>
        </w:rPr>
        <w:t>12月13日</w:t>
      </w:r>
      <w:r>
        <w:rPr>
          <w:rFonts w:hint="eastAsia" w:ascii="微软雅黑" w:hAnsi="微软雅黑" w:eastAsia="微软雅黑" w:cs="微软雅黑"/>
          <w:sz w:val="21"/>
          <w:szCs w:val="21"/>
        </w:rPr>
        <w:t>前按照转去学院分类并交至对应学院。对应学院收到表格后，要与教务系统转专业流程中报上名的学生名单进行核对，需要做到纸质表格和线上申请名单人员对应一致，</w:t>
      </w:r>
      <w:r>
        <w:rPr>
          <w:rFonts w:hint="eastAsia" w:ascii="微软雅黑" w:hAnsi="微软雅黑" w:eastAsia="微软雅黑" w:cs="微软雅黑"/>
          <w:color w:val="FF0000"/>
          <w:sz w:val="21"/>
          <w:szCs w:val="21"/>
        </w:rPr>
        <w:t>两者缺一的，不予受理</w:t>
      </w:r>
      <w:r>
        <w:rPr>
          <w:rFonts w:hint="eastAsia" w:ascii="微软雅黑" w:hAnsi="微软雅黑" w:eastAsia="微软雅黑" w:cs="微软雅黑"/>
          <w:sz w:val="21"/>
          <w:szCs w:val="21"/>
        </w:rPr>
        <w:t>。</w:t>
      </w:r>
    </w:p>
    <w:p w14:paraId="418DDC56">
      <w:pPr>
        <w:pStyle w:val="16"/>
        <w:keepNext w:val="0"/>
        <w:keepLines w:val="0"/>
        <w:widowControl/>
        <w:suppressLineNumbers w:val="0"/>
      </w:pPr>
    </w:p>
    <w:p w14:paraId="74E95F1E">
      <w:pPr>
        <w:pStyle w:val="16"/>
        <w:keepNext w:val="0"/>
        <w:keepLines w:val="0"/>
        <w:widowControl/>
        <w:suppressLineNumbers w:val="0"/>
      </w:pPr>
      <w:r>
        <w:rPr>
          <w:rFonts w:hint="eastAsia" w:ascii="微软雅黑" w:hAnsi="微软雅黑" w:eastAsia="微软雅黑" w:cs="微软雅黑"/>
          <w:b/>
          <w:bCs/>
          <w:sz w:val="21"/>
          <w:szCs w:val="21"/>
        </w:rPr>
        <w:t>4.学生根据每个专业的考核内容和考核方式备考。</w:t>
      </w:r>
    </w:p>
    <w:p w14:paraId="69D8D2E7">
      <w:pPr>
        <w:pStyle w:val="16"/>
        <w:keepNext w:val="0"/>
        <w:keepLines w:val="0"/>
        <w:widowControl/>
        <w:suppressLineNumbers w:val="0"/>
      </w:pPr>
    </w:p>
    <w:p w14:paraId="35B3B421">
      <w:pPr>
        <w:pStyle w:val="16"/>
        <w:keepNext w:val="0"/>
        <w:keepLines w:val="0"/>
        <w:widowControl/>
        <w:suppressLineNumbers w:val="0"/>
      </w:pPr>
      <w:r>
        <w:rPr>
          <w:rFonts w:hint="eastAsia" w:ascii="微软雅黑" w:hAnsi="微软雅黑" w:eastAsia="微软雅黑" w:cs="微软雅黑"/>
          <w:b/>
          <w:bCs/>
          <w:sz w:val="21"/>
          <w:szCs w:val="21"/>
        </w:rPr>
        <w:t>5.转专业考核安排在下学期第一周进行。</w:t>
      </w:r>
      <w:r>
        <w:rPr>
          <w:rFonts w:hint="eastAsia" w:ascii="微软雅黑" w:hAnsi="微软雅黑" w:eastAsia="微软雅黑" w:cs="微软雅黑"/>
          <w:sz w:val="21"/>
          <w:szCs w:val="21"/>
        </w:rPr>
        <w:t>各二级学院须在本学期</w:t>
      </w:r>
      <w:r>
        <w:rPr>
          <w:rFonts w:hint="eastAsia" w:ascii="微软雅黑" w:hAnsi="微软雅黑" w:eastAsia="微软雅黑" w:cs="微软雅黑"/>
          <w:sz w:val="21"/>
          <w:szCs w:val="21"/>
          <w:shd w:val="clear" w:fill="FFFF00"/>
        </w:rPr>
        <w:t>第15周周五（12月20日）</w:t>
      </w:r>
      <w:r>
        <w:rPr>
          <w:rFonts w:hint="eastAsia" w:ascii="微软雅黑" w:hAnsi="微软雅黑" w:eastAsia="微软雅黑" w:cs="微软雅黑"/>
          <w:sz w:val="21"/>
          <w:szCs w:val="21"/>
        </w:rPr>
        <w:t>前在转专业操作系统内对学生进行考核时间与地点操作，同时按以往流程把安排表交教务处，教务处汇总后在</w:t>
      </w:r>
      <w:r>
        <w:rPr>
          <w:rFonts w:hint="eastAsia" w:ascii="微软雅黑" w:hAnsi="微软雅黑" w:eastAsia="微软雅黑" w:cs="微软雅黑"/>
          <w:sz w:val="21"/>
          <w:szCs w:val="21"/>
          <w:shd w:val="clear" w:fill="FFFF00"/>
        </w:rPr>
        <w:t>12月25日</w:t>
      </w:r>
      <w:r>
        <w:rPr>
          <w:rFonts w:hint="eastAsia" w:ascii="微软雅黑" w:hAnsi="微软雅黑" w:eastAsia="微软雅黑" w:cs="微软雅黑"/>
          <w:sz w:val="21"/>
          <w:szCs w:val="21"/>
        </w:rPr>
        <w:t>在学校官网和教务处公众号公布各学院转专业考核时间与地点（</w:t>
      </w:r>
      <w:r>
        <w:rPr>
          <w:rFonts w:hint="eastAsia" w:ascii="微软雅黑" w:hAnsi="微软雅黑" w:eastAsia="微软雅黑" w:cs="微软雅黑"/>
          <w:color w:val="FF0000"/>
          <w:sz w:val="21"/>
          <w:szCs w:val="21"/>
        </w:rPr>
        <w:t>以系统内通知为准，如以后完全转为线上操作，教务处将不再发布此类通知</w:t>
      </w:r>
      <w:r>
        <w:rPr>
          <w:rFonts w:hint="eastAsia" w:ascii="微软雅黑" w:hAnsi="微软雅黑" w:eastAsia="微软雅黑" w:cs="微软雅黑"/>
          <w:sz w:val="21"/>
          <w:szCs w:val="21"/>
        </w:rPr>
        <w:t>）。学生按照</w:t>
      </w:r>
      <w:r>
        <w:rPr>
          <w:rFonts w:hint="eastAsia" w:ascii="微软雅黑" w:hAnsi="微软雅黑" w:eastAsia="微软雅黑" w:cs="微软雅黑"/>
          <w:color w:val="FF0000"/>
          <w:sz w:val="21"/>
          <w:szCs w:val="21"/>
        </w:rPr>
        <w:t>转专业系统</w:t>
      </w:r>
      <w:r>
        <w:rPr>
          <w:rFonts w:hint="eastAsia" w:ascii="微软雅黑" w:hAnsi="微软雅黑" w:eastAsia="微软雅黑" w:cs="微软雅黑"/>
          <w:sz w:val="21"/>
          <w:szCs w:val="21"/>
        </w:rPr>
        <w:t>内通知的时间地点参加转专业考核。</w:t>
      </w:r>
    </w:p>
    <w:p w14:paraId="4BD752AC">
      <w:pPr>
        <w:pStyle w:val="16"/>
        <w:keepNext w:val="0"/>
        <w:keepLines w:val="0"/>
        <w:widowControl/>
        <w:suppressLineNumbers w:val="0"/>
      </w:pPr>
    </w:p>
    <w:p w14:paraId="03B6FC52">
      <w:pPr>
        <w:pStyle w:val="16"/>
        <w:keepNext w:val="0"/>
        <w:keepLines w:val="0"/>
        <w:widowControl/>
        <w:suppressLineNumbers w:val="0"/>
      </w:pPr>
      <w:r>
        <w:rPr>
          <w:rFonts w:hint="eastAsia" w:ascii="微软雅黑" w:hAnsi="微软雅黑" w:eastAsia="微软雅黑" w:cs="微软雅黑"/>
          <w:b/>
          <w:bCs/>
          <w:sz w:val="21"/>
          <w:szCs w:val="21"/>
        </w:rPr>
        <w:t>6.二级学院须在下学期开学后按照考核安排的时间地点进行考核</w:t>
      </w:r>
      <w:r>
        <w:rPr>
          <w:rFonts w:hint="eastAsia" w:ascii="微软雅黑" w:hAnsi="微软雅黑" w:eastAsia="微软雅黑" w:cs="微软雅黑"/>
          <w:sz w:val="21"/>
          <w:szCs w:val="21"/>
        </w:rPr>
        <w:t>，考核完毕，</w:t>
      </w:r>
      <w:r>
        <w:rPr>
          <w:rFonts w:hint="eastAsia" w:ascii="微软雅黑" w:hAnsi="微软雅黑" w:eastAsia="微软雅黑" w:cs="微软雅黑"/>
          <w:sz w:val="21"/>
          <w:szCs w:val="21"/>
          <w:shd w:val="clear" w:fill="FFFF00"/>
        </w:rPr>
        <w:t>第2周周一</w:t>
      </w:r>
      <w:r>
        <w:rPr>
          <w:rFonts w:hint="eastAsia" w:ascii="微软雅黑" w:hAnsi="微软雅黑" w:eastAsia="微软雅黑" w:cs="微软雅黑"/>
          <w:sz w:val="21"/>
          <w:szCs w:val="21"/>
        </w:rPr>
        <w:t>前在转专业系统内将通过考核同意转入本学院的学生提交至教务处审核。教务处将通过考核同意转入学院的学生公示后，第三周周一完成转专业相关工作。获准转专业的学生在完成本学期原专业各课程考核后，下学期转入新专业学习，进入新专业后，学费将按新专业对应年级的费用交纳。</w:t>
      </w:r>
    </w:p>
    <w:p w14:paraId="57172602">
      <w:pPr>
        <w:pStyle w:val="16"/>
        <w:keepNext w:val="0"/>
        <w:keepLines w:val="0"/>
        <w:widowControl/>
        <w:suppressLineNumbers w:val="0"/>
      </w:pPr>
    </w:p>
    <w:p w14:paraId="69BDD98C">
      <w:pPr>
        <w:pStyle w:val="16"/>
        <w:keepNext w:val="0"/>
        <w:keepLines w:val="0"/>
        <w:widowControl/>
        <w:suppressLineNumbers w:val="0"/>
      </w:pPr>
      <w:r>
        <w:rPr>
          <w:rFonts w:hint="eastAsia" w:ascii="微软雅黑" w:hAnsi="微软雅黑" w:eastAsia="微软雅黑" w:cs="微软雅黑"/>
          <w:b/>
          <w:bCs/>
          <w:sz w:val="21"/>
          <w:szCs w:val="21"/>
        </w:rPr>
        <w:t>7.公示期内学生如想放弃转专业，可交申请至原学院和转入学院，经批准后报教务处取消转专业，且本次操作视为学生已经进行过转专业操作。</w:t>
      </w:r>
      <w:r>
        <w:rPr>
          <w:rFonts w:hint="eastAsia" w:ascii="微软雅黑" w:hAnsi="微软雅黑" w:eastAsia="微软雅黑" w:cs="微软雅黑"/>
          <w:sz w:val="21"/>
          <w:szCs w:val="21"/>
        </w:rPr>
        <w:t>公示期过后，学生如未达到学院要求（如有成绩不及格、成绩未达考核标准要求等），学院有权力将学生退回原学院原专业。转专业操作进行后，学生即进入新专业学习，届时学生不可申请放弃转专业，不可转回原学院原专业或申请调剂至其他专业，学生如果对转专业事宜有所犹豫，应在假期内决定是否参加转专业考核，或在考核后公示期内尽快做好决定，在规定的时间内进行相应处理流程，逾期无法处理，后果需自负。</w:t>
      </w:r>
    </w:p>
    <w:p w14:paraId="525EB3E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PingFangTC-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2EE02C"/>
    <w:multiLevelType w:val="multilevel"/>
    <w:tmpl w:val="C22EE02C"/>
    <w:lvl w:ilvl="0" w:tentative="0">
      <w:start w:val="1"/>
      <w:numFmt w:val="decimal"/>
      <w:pStyle w:val="2"/>
      <w:suff w:val="nothing"/>
      <w:lvlText w:val="%1　"/>
      <w:lvlJc w:val="left"/>
      <w:pPr>
        <w:ind w:left="432" w:hanging="432"/>
      </w:pPr>
      <w:rPr>
        <w:rFonts w:hint="default"/>
      </w:rPr>
    </w:lvl>
    <w:lvl w:ilvl="1" w:tentative="0">
      <w:start w:val="1"/>
      <w:numFmt w:val="decimal"/>
      <w:pStyle w:val="3"/>
      <w:suff w:val="nothing"/>
      <w:lvlText w:val="%1.%2　"/>
      <w:lvlJc w:val="left"/>
      <w:pPr>
        <w:ind w:left="575" w:hanging="575"/>
      </w:pPr>
      <w:rPr>
        <w:rFonts w:hint="default"/>
      </w:rPr>
    </w:lvl>
    <w:lvl w:ilvl="2" w:tentative="0">
      <w:start w:val="1"/>
      <w:numFmt w:val="decimal"/>
      <w:pStyle w:val="4"/>
      <w:suff w:val="nothing"/>
      <w:lvlText w:val="%1.%2.%3　"/>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C82194"/>
    <w:rsid w:val="049A781C"/>
    <w:rsid w:val="04F33DAF"/>
    <w:rsid w:val="0B21186D"/>
    <w:rsid w:val="0BE2340E"/>
    <w:rsid w:val="0D344154"/>
    <w:rsid w:val="0E947969"/>
    <w:rsid w:val="11E35E88"/>
    <w:rsid w:val="152B1A50"/>
    <w:rsid w:val="18C965C0"/>
    <w:rsid w:val="1C3C063B"/>
    <w:rsid w:val="1D0C4EF2"/>
    <w:rsid w:val="1F875CE6"/>
    <w:rsid w:val="1FEF20E0"/>
    <w:rsid w:val="205A7BC6"/>
    <w:rsid w:val="21FE11B6"/>
    <w:rsid w:val="22BE0DDD"/>
    <w:rsid w:val="261C5CE5"/>
    <w:rsid w:val="26414073"/>
    <w:rsid w:val="2B240021"/>
    <w:rsid w:val="2B5116C7"/>
    <w:rsid w:val="2B545EC4"/>
    <w:rsid w:val="2BA373C4"/>
    <w:rsid w:val="31460F23"/>
    <w:rsid w:val="329C4AFE"/>
    <w:rsid w:val="32CB48A0"/>
    <w:rsid w:val="330A68DD"/>
    <w:rsid w:val="33B37F0C"/>
    <w:rsid w:val="355E61E0"/>
    <w:rsid w:val="35DD15FC"/>
    <w:rsid w:val="36820823"/>
    <w:rsid w:val="379D35C2"/>
    <w:rsid w:val="37FC0B16"/>
    <w:rsid w:val="3F8448AA"/>
    <w:rsid w:val="3F9C497D"/>
    <w:rsid w:val="46C155FF"/>
    <w:rsid w:val="482A6164"/>
    <w:rsid w:val="48E47881"/>
    <w:rsid w:val="4B713CC9"/>
    <w:rsid w:val="4B811B6D"/>
    <w:rsid w:val="4BEC1396"/>
    <w:rsid w:val="4C4D68A6"/>
    <w:rsid w:val="4EF5722E"/>
    <w:rsid w:val="52156097"/>
    <w:rsid w:val="52361262"/>
    <w:rsid w:val="5500270B"/>
    <w:rsid w:val="553B29F8"/>
    <w:rsid w:val="563D7950"/>
    <w:rsid w:val="569F196C"/>
    <w:rsid w:val="57BC4D70"/>
    <w:rsid w:val="5838692F"/>
    <w:rsid w:val="591E42C6"/>
    <w:rsid w:val="5FF0500E"/>
    <w:rsid w:val="64A234C4"/>
    <w:rsid w:val="6B574BF4"/>
    <w:rsid w:val="6EB65D7C"/>
    <w:rsid w:val="6EC82194"/>
    <w:rsid w:val="705D2071"/>
    <w:rsid w:val="7522622B"/>
    <w:rsid w:val="77B02B31"/>
    <w:rsid w:val="78A15674"/>
    <w:rsid w:val="78B533C1"/>
    <w:rsid w:val="7C027614"/>
    <w:rsid w:val="7C040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ind w:firstLine="612" w:firstLineChars="200"/>
      <w:jc w:val="both"/>
    </w:pPr>
    <w:rPr>
      <w:rFonts w:ascii="Times New Roman" w:hAnsi="Times New Roman" w:eastAsia="宋体" w:cstheme="minorBidi"/>
      <w:kern w:val="2"/>
      <w:sz w:val="24"/>
      <w:szCs w:val="24"/>
      <w:lang w:val="en-US" w:eastAsia="zh-CN" w:bidi="ar-SA"/>
    </w:rPr>
  </w:style>
  <w:style w:type="paragraph" w:styleId="2">
    <w:name w:val="heading 1"/>
    <w:basedOn w:val="1"/>
    <w:next w:val="1"/>
    <w:link w:val="22"/>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semiHidden/>
    <w:unhideWhenUsed/>
    <w:qFormat/>
    <w:uiPriority w:val="0"/>
    <w:pPr>
      <w:keepNext/>
      <w:keepLines/>
      <w:numPr>
        <w:ilvl w:val="1"/>
        <w:numId w:val="1"/>
      </w:numPr>
      <w:spacing w:before="100" w:beforeLines="100" w:beforeAutospacing="0" w:after="100" w:afterLines="100" w:afterAutospacing="0" w:line="240" w:lineRule="auto"/>
      <w:ind w:left="0" w:firstLine="0" w:firstLineChars="0"/>
      <w:jc w:val="both"/>
      <w:outlineLvl w:val="1"/>
    </w:pPr>
    <w:rPr>
      <w:rFonts w:ascii="Times New Roman" w:hAnsi="Times New Roman" w:eastAsia="黑体"/>
      <w:sz w:val="28"/>
    </w:rPr>
  </w:style>
  <w:style w:type="paragraph" w:styleId="4">
    <w:name w:val="heading 3"/>
    <w:basedOn w:val="1"/>
    <w:next w:val="1"/>
    <w:autoRedefine/>
    <w:semiHidden/>
    <w:unhideWhenUsed/>
    <w:qFormat/>
    <w:uiPriority w:val="0"/>
    <w:pPr>
      <w:keepNext/>
      <w:keepLines/>
      <w:numPr>
        <w:ilvl w:val="2"/>
        <w:numId w:val="1"/>
      </w:numPr>
      <w:spacing w:beforeAutospacing="0" w:afterAutospacing="0" w:line="240" w:lineRule="auto"/>
      <w:ind w:left="720" w:hanging="720" w:firstLineChars="0"/>
      <w:jc w:val="both"/>
      <w:outlineLvl w:val="2"/>
    </w:pPr>
    <w:rPr>
      <w:rFonts w:eastAsia="黑体"/>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18">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0"/>
    <w:pPr>
      <w:keepNext/>
      <w:jc w:val="center"/>
    </w:pPr>
    <w:rPr>
      <w:rFonts w:ascii="Arial" w:hAnsi="Arial" w:eastAsia="黑体"/>
      <w:sz w:val="20"/>
    </w:rPr>
  </w:style>
  <w:style w:type="paragraph" w:styleId="12">
    <w:name w:val="toc 3"/>
    <w:basedOn w:val="1"/>
    <w:next w:val="1"/>
    <w:autoRedefine/>
    <w:qFormat/>
    <w:uiPriority w:val="0"/>
    <w:pPr>
      <w:ind w:left="960" w:leftChars="400" w:firstLine="0" w:firstLineChars="0"/>
      <w:jc w:val="both"/>
    </w:pPr>
    <w:rPr>
      <w:rFonts w:ascii="Times New Roman" w:hAnsi="Times New Roman"/>
    </w:rPr>
  </w:style>
  <w:style w:type="paragraph" w:styleId="13">
    <w:name w:val="toc 1"/>
    <w:basedOn w:val="1"/>
    <w:next w:val="1"/>
    <w:autoRedefine/>
    <w:qFormat/>
    <w:uiPriority w:val="0"/>
    <w:pPr>
      <w:ind w:firstLine="0" w:firstLineChars="0"/>
    </w:pPr>
    <w:rPr>
      <w:rFonts w:ascii="Times New Roman" w:hAnsi="Times New Roman" w:eastAsia="黑体"/>
      <w:sz w:val="28"/>
    </w:rPr>
  </w:style>
  <w:style w:type="paragraph" w:styleId="14">
    <w:name w:val="List"/>
    <w:basedOn w:val="1"/>
    <w:autoRedefine/>
    <w:qFormat/>
    <w:uiPriority w:val="0"/>
    <w:pPr>
      <w:ind w:left="200" w:hanging="200" w:hangingChars="200"/>
    </w:pPr>
  </w:style>
  <w:style w:type="paragraph" w:styleId="15">
    <w:name w:val="toc 2"/>
    <w:basedOn w:val="1"/>
    <w:next w:val="1"/>
    <w:qFormat/>
    <w:uiPriority w:val="0"/>
    <w:pPr>
      <w:ind w:left="480" w:leftChars="200" w:firstLine="0" w:firstLineChars="0"/>
      <w:jc w:val="both"/>
    </w:pPr>
    <w:rPr>
      <w:rFonts w:ascii="Times New Roman" w:hAnsi="Times New Roman"/>
    </w:rPr>
  </w:style>
  <w:style w:type="paragraph" w:styleId="16">
    <w:name w:val="Normal (Web)"/>
    <w:basedOn w:val="1"/>
    <w:uiPriority w:val="0"/>
    <w:pPr>
      <w:spacing w:before="0" w:beforeAutospacing="1" w:after="0" w:afterAutospacing="1"/>
      <w:ind w:left="0" w:right="0"/>
      <w:jc w:val="left"/>
    </w:pPr>
    <w:rPr>
      <w:kern w:val="0"/>
      <w:sz w:val="24"/>
      <w:lang w:val="en-US" w:eastAsia="zh-CN" w:bidi="ar"/>
    </w:rPr>
  </w:style>
  <w:style w:type="character" w:styleId="19">
    <w:name w:val="Strong"/>
    <w:basedOn w:val="18"/>
    <w:qFormat/>
    <w:uiPriority w:val="0"/>
    <w:rPr>
      <w:b/>
    </w:rPr>
  </w:style>
  <w:style w:type="paragraph" w:customStyle="1" w:styleId="20">
    <w:name w:val="表格文字"/>
    <w:basedOn w:val="1"/>
    <w:autoRedefine/>
    <w:qFormat/>
    <w:uiPriority w:val="0"/>
    <w:pPr>
      <w:widowControl/>
      <w:spacing w:line="240" w:lineRule="auto"/>
      <w:ind w:firstLine="0" w:firstLineChars="0"/>
      <w:jc w:val="center"/>
      <w:textAlignment w:val="center"/>
    </w:pPr>
    <w:rPr>
      <w:rFonts w:hint="eastAsia" w:ascii="宋体" w:hAnsi="宋体" w:cs="宋体"/>
      <w:color w:val="000000"/>
      <w:kern w:val="0"/>
      <w:sz w:val="21"/>
      <w:szCs w:val="22"/>
      <w:u w:val="none"/>
      <w:lang w:bidi="ar"/>
    </w:rPr>
  </w:style>
  <w:style w:type="paragraph" w:customStyle="1" w:styleId="21">
    <w:name w:val="表格"/>
    <w:basedOn w:val="14"/>
    <w:autoRedefine/>
    <w:qFormat/>
    <w:uiPriority w:val="0"/>
    <w:pPr>
      <w:keepNext/>
      <w:widowControl/>
      <w:spacing w:line="240" w:lineRule="auto"/>
      <w:ind w:left="0" w:firstLine="0" w:firstLineChars="0"/>
      <w:jc w:val="center"/>
      <w:textAlignment w:val="center"/>
    </w:pPr>
    <w:rPr>
      <w:rFonts w:ascii="Times New Roman" w:hAnsi="Times New Roman" w:cs="宋体"/>
      <w:color w:val="000000"/>
      <w:kern w:val="0"/>
      <w:sz w:val="24"/>
      <w:szCs w:val="22"/>
      <w:u w:val="none"/>
      <w:lang w:bidi="ar"/>
    </w:rPr>
  </w:style>
  <w:style w:type="character" w:customStyle="1" w:styleId="22">
    <w:name w:val="标题 1 Char"/>
    <w:link w:val="2"/>
    <w:autoRedefine/>
    <w:qFormat/>
    <w:uiPriority w:val="0"/>
    <w:rPr>
      <w:rFonts w:ascii="Times New Roman" w:hAnsi="Times New Roman" w:eastAsia="黑体"/>
      <w:b/>
      <w:kern w:val="44"/>
      <w:sz w:val="3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137</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2026-08-17T10:04:00Z</dcterms:created>
  <dc:creator>拾得寒山</dc:creator>
  <cp:lastModifiedBy>拾得寒山</cp:lastModifiedBy>
  <dcterms:modified xsi:type="dcterms:W3CDTF">2026-08-17T10:05:23Z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F28390D984644D92B7473C089E9785E6_11</vt:lpwstr>
  </property>
  <property fmtid="{D5CDD505-2E9C-101B-9397-08002B2CF9AE}" pid="4" name="KSOTemplateDocerSaveRecord">
    <vt:lpwstr>eyJoZGlkIjoiMzgxMjQ1NDFlNmI3ZjIxODk4OTBiMjg0MDZjNWI3NzUiLCJ1c2VySWQiOiIxMjg0NTM4ODk5In0=</vt:lpwstr>
  </property>
</Properties>
</file>