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56F9C" w14:textId="77777777" w:rsidR="002A7546" w:rsidRDefault="00B76D73">
      <w:pPr>
        <w:pStyle w:val="Default"/>
        <w:spacing w:line="360" w:lineRule="auto"/>
        <w:ind w:left="452"/>
        <w:jc w:val="center"/>
        <w:rPr>
          <w:rFonts w:ascii="黑体" w:eastAsia="黑体" w:hAnsi="黑体" w:cs="Times New Roman"/>
          <w:color w:val="auto"/>
          <w:sz w:val="32"/>
          <w:szCs w:val="32"/>
        </w:rPr>
      </w:pPr>
      <w:r>
        <w:rPr>
          <w:rFonts w:ascii="黑体" w:eastAsia="黑体" w:hAnsi="黑体" w:cs="Times New Roman"/>
          <w:color w:val="auto"/>
          <w:sz w:val="32"/>
          <w:szCs w:val="32"/>
        </w:rPr>
        <w:t>2027年</w:t>
      </w:r>
      <w:r>
        <w:rPr>
          <w:rFonts w:ascii="黑体" w:eastAsia="黑体" w:hAnsi="黑体" w:cs="Times New Roman" w:hint="eastAsia"/>
          <w:color w:val="auto"/>
          <w:sz w:val="32"/>
          <w:szCs w:val="32"/>
        </w:rPr>
        <w:t>环境与地理科学学院</w:t>
      </w:r>
      <w:r>
        <w:rPr>
          <w:rFonts w:ascii="黑体" w:eastAsia="黑体" w:hAnsi="黑体" w:cs="Times New Roman"/>
          <w:color w:val="auto"/>
          <w:sz w:val="32"/>
          <w:szCs w:val="32"/>
        </w:rPr>
        <w:t>推荐优秀应届本科毕业生免试攻读硕士学位研究生综合成绩评分细则</w:t>
      </w:r>
    </w:p>
    <w:p w14:paraId="6BA7AD5A" w14:textId="77777777" w:rsidR="002A7546" w:rsidRDefault="00B76D73">
      <w:pPr>
        <w:pStyle w:val="2"/>
        <w:spacing w:line="360" w:lineRule="auto"/>
        <w:ind w:firstLineChars="200"/>
        <w:rPr>
          <w:rFonts w:eastAsiaTheme="minorEastAsia"/>
          <w:sz w:val="24"/>
        </w:rPr>
      </w:pPr>
      <w:r>
        <w:rPr>
          <w:rFonts w:eastAsiaTheme="minorEastAsia" w:hint="eastAsia"/>
          <w:sz w:val="24"/>
        </w:rPr>
        <w:t>根据《上海师范大学关于开展</w:t>
      </w:r>
      <w:r>
        <w:rPr>
          <w:rFonts w:eastAsiaTheme="minorEastAsia" w:hint="eastAsia"/>
          <w:sz w:val="24"/>
        </w:rPr>
        <w:t>202</w:t>
      </w:r>
      <w:r>
        <w:rPr>
          <w:rFonts w:eastAsiaTheme="minorEastAsia"/>
          <w:sz w:val="24"/>
        </w:rPr>
        <w:t>7</w:t>
      </w:r>
      <w:r>
        <w:rPr>
          <w:rFonts w:eastAsiaTheme="minorEastAsia" w:hint="eastAsia"/>
          <w:sz w:val="24"/>
        </w:rPr>
        <w:t>年推荐优秀应届本科毕业生免试攻读研究生工作的通知》</w:t>
      </w:r>
      <w:r>
        <w:rPr>
          <w:rFonts w:eastAsiaTheme="minorEastAsia"/>
          <w:sz w:val="24"/>
        </w:rPr>
        <w:t>文件精神，经研究决定</w:t>
      </w:r>
      <w:r>
        <w:rPr>
          <w:rFonts w:eastAsiaTheme="minorEastAsia" w:hint="eastAsia"/>
          <w:sz w:val="24"/>
        </w:rPr>
        <w:t>：</w:t>
      </w:r>
    </w:p>
    <w:p w14:paraId="723C8CAB" w14:textId="77777777" w:rsidR="002A7546" w:rsidRDefault="00B76D73">
      <w:pPr>
        <w:pStyle w:val="2"/>
        <w:spacing w:line="360" w:lineRule="auto"/>
        <w:ind w:firstLineChars="200"/>
        <w:rPr>
          <w:rFonts w:eastAsiaTheme="minorEastAsia"/>
          <w:sz w:val="24"/>
        </w:rPr>
      </w:pPr>
      <w:r>
        <w:rPr>
          <w:rFonts w:eastAsiaTheme="minorEastAsia" w:hint="eastAsia"/>
          <w:sz w:val="24"/>
        </w:rPr>
        <w:t>一、</w:t>
      </w:r>
      <w:r>
        <w:rPr>
          <w:rFonts w:eastAsiaTheme="minorEastAsia" w:hint="eastAsia"/>
          <w:b/>
          <w:sz w:val="24"/>
        </w:rPr>
        <w:t>思想品德考核</w:t>
      </w:r>
      <w:r>
        <w:rPr>
          <w:rFonts w:eastAsiaTheme="minorEastAsia" w:hint="eastAsia"/>
          <w:sz w:val="24"/>
        </w:rPr>
        <w:t>：受过学校纪律处分（校发文）者不予推荐。</w:t>
      </w:r>
    </w:p>
    <w:p w14:paraId="1AB2554D" w14:textId="77777777" w:rsidR="002A7546" w:rsidRDefault="00B76D73">
      <w:pPr>
        <w:spacing w:line="360" w:lineRule="auto"/>
        <w:ind w:firstLine="420"/>
        <w:rPr>
          <w:sz w:val="24"/>
        </w:rPr>
      </w:pPr>
      <w:r>
        <w:rPr>
          <w:rFonts w:hint="eastAsia"/>
          <w:sz w:val="24"/>
        </w:rPr>
        <w:t>二、</w:t>
      </w:r>
      <w:r>
        <w:rPr>
          <w:b/>
          <w:bCs/>
          <w:sz w:val="24"/>
        </w:rPr>
        <w:t>学业综合成绩</w:t>
      </w:r>
      <w:r>
        <w:rPr>
          <w:rFonts w:hint="eastAsia"/>
          <w:b/>
          <w:bCs/>
          <w:sz w:val="24"/>
        </w:rPr>
        <w:t>满分为</w:t>
      </w:r>
      <w:r>
        <w:rPr>
          <w:rFonts w:ascii="Times New Roman" w:hAnsi="Times New Roman" w:cs="Times New Roman"/>
          <w:b/>
          <w:bCs/>
          <w:sz w:val="24"/>
        </w:rPr>
        <w:t>100</w:t>
      </w:r>
      <w:r>
        <w:rPr>
          <w:rFonts w:hint="eastAsia"/>
          <w:b/>
          <w:bCs/>
          <w:sz w:val="24"/>
        </w:rPr>
        <w:t>分</w:t>
      </w:r>
      <w:r>
        <w:rPr>
          <w:rFonts w:hint="eastAsia"/>
          <w:sz w:val="24"/>
        </w:rPr>
        <w:t>，</w:t>
      </w:r>
      <w:r>
        <w:rPr>
          <w:sz w:val="24"/>
        </w:rPr>
        <w:t>由学位（绩点）课程成绩</w:t>
      </w:r>
      <w:r>
        <w:rPr>
          <w:rFonts w:hint="eastAsia"/>
          <w:sz w:val="24"/>
        </w:rPr>
        <w:t>和</w:t>
      </w:r>
      <w:r>
        <w:rPr>
          <w:sz w:val="24"/>
        </w:rPr>
        <w:t>英语能力得分</w:t>
      </w:r>
      <w:r>
        <w:rPr>
          <w:rFonts w:hint="eastAsia"/>
          <w:sz w:val="24"/>
        </w:rPr>
        <w:t>两</w:t>
      </w:r>
      <w:r>
        <w:rPr>
          <w:sz w:val="24"/>
        </w:rPr>
        <w:t>部分组成。</w:t>
      </w:r>
    </w:p>
    <w:p w14:paraId="467F2B56" w14:textId="77777777" w:rsidR="002A7546" w:rsidRDefault="00B76D73">
      <w:pPr>
        <w:pStyle w:val="2"/>
        <w:spacing w:line="360" w:lineRule="auto"/>
        <w:ind w:firstLineChars="200"/>
        <w:rPr>
          <w:rFonts w:eastAsiaTheme="minorEastAsia"/>
          <w:sz w:val="24"/>
        </w:rPr>
      </w:pPr>
      <w:r>
        <w:rPr>
          <w:rFonts w:eastAsiaTheme="minorEastAsia"/>
          <w:sz w:val="24"/>
        </w:rPr>
        <w:t>1</w:t>
      </w:r>
      <w:r>
        <w:rPr>
          <w:rFonts w:eastAsiaTheme="minorEastAsia"/>
          <w:sz w:val="24"/>
        </w:rPr>
        <w:t>、学位（绩点）课程成绩计算</w:t>
      </w:r>
    </w:p>
    <w:p w14:paraId="17AE5D35" w14:textId="77777777" w:rsidR="002A7546" w:rsidRDefault="00B76D73">
      <w:pPr>
        <w:pStyle w:val="2"/>
        <w:spacing w:line="360" w:lineRule="auto"/>
        <w:ind w:firstLineChars="200"/>
        <w:rPr>
          <w:sz w:val="24"/>
        </w:rPr>
      </w:pPr>
      <w:r>
        <w:rPr>
          <w:rFonts w:eastAsiaTheme="minorEastAsia"/>
          <w:sz w:val="24"/>
        </w:rPr>
        <w:t>按照培养方案中列出的学位课程，按学分对课程成绩进行加权平均。即每门课的成绩</w:t>
      </w:r>
      <w:r>
        <w:rPr>
          <w:sz w:val="24"/>
        </w:rPr>
        <w:t>乘以学分，求和之后再除以</w:t>
      </w:r>
      <w:r>
        <w:rPr>
          <w:rFonts w:hint="eastAsia"/>
          <w:sz w:val="24"/>
        </w:rPr>
        <w:t>统计课程的</w:t>
      </w:r>
      <w:r>
        <w:rPr>
          <w:sz w:val="24"/>
        </w:rPr>
        <w:t>总学分，得出学位课程平均分。</w:t>
      </w:r>
      <w:r>
        <w:rPr>
          <w:rFonts w:hint="eastAsia"/>
          <w:sz w:val="24"/>
        </w:rPr>
        <w:t>纳入成绩计算体系的课程成绩为初考成绩。</w:t>
      </w:r>
      <w:r>
        <w:rPr>
          <w:sz w:val="24"/>
        </w:rPr>
        <w:t>该项占学业综合成绩的</w:t>
      </w:r>
      <w:r>
        <w:rPr>
          <w:rFonts w:hint="eastAsia"/>
          <w:sz w:val="24"/>
        </w:rPr>
        <w:t>95</w:t>
      </w:r>
      <w:r>
        <w:rPr>
          <w:sz w:val="24"/>
        </w:rPr>
        <w:t>%</w:t>
      </w:r>
      <w:r>
        <w:rPr>
          <w:sz w:val="24"/>
        </w:rPr>
        <w:t>。</w:t>
      </w:r>
    </w:p>
    <w:p w14:paraId="42ED9BD3" w14:textId="77777777" w:rsidR="002A7546" w:rsidRDefault="00B76D73">
      <w:pPr>
        <w:spacing w:line="360" w:lineRule="auto"/>
        <w:ind w:firstLine="420"/>
        <w:rPr>
          <w:rFonts w:ascii="Times New Roman" w:hAnsi="Times New Roman" w:cs="Times New Roman"/>
          <w:sz w:val="24"/>
          <w:szCs w:val="20"/>
        </w:rPr>
      </w:pPr>
      <w:r>
        <w:rPr>
          <w:rFonts w:ascii="Times New Roman" w:hAnsi="Times New Roman" w:cs="Times New Roman" w:hint="eastAsia"/>
          <w:sz w:val="24"/>
          <w:szCs w:val="21"/>
        </w:rPr>
        <w:t>2</w:t>
      </w:r>
      <w:r>
        <w:rPr>
          <w:rFonts w:ascii="Times New Roman" w:hAnsi="Times New Roman" w:cs="Times New Roman"/>
          <w:sz w:val="24"/>
          <w:szCs w:val="21"/>
        </w:rPr>
        <w:t>、</w:t>
      </w:r>
      <w:r>
        <w:rPr>
          <w:rFonts w:ascii="Times New Roman" w:hAnsi="Times New Roman" w:cs="Times New Roman"/>
          <w:sz w:val="24"/>
          <w:szCs w:val="20"/>
        </w:rPr>
        <w:t>英语能力得分</w:t>
      </w:r>
    </w:p>
    <w:p w14:paraId="307FBFC6" w14:textId="77777777" w:rsidR="002A7546" w:rsidRDefault="00B76D73">
      <w:pPr>
        <w:spacing w:line="360" w:lineRule="auto"/>
        <w:ind w:firstLine="420"/>
        <w:rPr>
          <w:rFonts w:ascii="Times New Roman" w:hAnsi="Times New Roman" w:cs="Times New Roman"/>
          <w:sz w:val="24"/>
          <w:szCs w:val="20"/>
        </w:rPr>
      </w:pPr>
      <w:r>
        <w:rPr>
          <w:rFonts w:ascii="Times New Roman" w:hAnsi="Times New Roman" w:cs="Times New Roman"/>
          <w:sz w:val="24"/>
        </w:rPr>
        <w:t>该项以</w:t>
      </w:r>
      <w:r>
        <w:rPr>
          <w:rFonts w:ascii="Times New Roman" w:hAnsi="Times New Roman" w:cs="Times New Roman" w:hint="eastAsia"/>
          <w:sz w:val="24"/>
        </w:rPr>
        <w:t>全国大学英语四、六级考试</w:t>
      </w:r>
      <w:r>
        <w:rPr>
          <w:rFonts w:ascii="Times New Roman" w:hAnsi="Times New Roman" w:cs="Times New Roman" w:hint="eastAsia"/>
          <w:sz w:val="24"/>
        </w:rPr>
        <w:t>(CET)</w:t>
      </w:r>
      <w:r>
        <w:rPr>
          <w:rFonts w:ascii="Times New Roman" w:hAnsi="Times New Roman" w:cs="Times New Roman"/>
          <w:sz w:val="24"/>
        </w:rPr>
        <w:t>成绩为考核依据</w:t>
      </w:r>
      <w:r>
        <w:rPr>
          <w:rFonts w:ascii="Times New Roman" w:hAnsi="Times New Roman" w:cs="Times New Roman" w:hint="eastAsia"/>
          <w:sz w:val="24"/>
        </w:rPr>
        <w:t>。</w:t>
      </w:r>
      <w:r>
        <w:rPr>
          <w:rFonts w:ascii="Times New Roman" w:hAnsi="Times New Roman" w:cs="Times New Roman"/>
          <w:sz w:val="24"/>
          <w:szCs w:val="20"/>
        </w:rPr>
        <w:t>满分为</w:t>
      </w:r>
      <w:r>
        <w:rPr>
          <w:rFonts w:ascii="Times New Roman" w:hAnsi="Times New Roman" w:cs="Times New Roman"/>
          <w:sz w:val="24"/>
          <w:szCs w:val="20"/>
        </w:rPr>
        <w:t>100</w:t>
      </w:r>
      <w:r>
        <w:rPr>
          <w:rFonts w:ascii="Times New Roman" w:hAnsi="Times New Roman" w:cs="Times New Roman"/>
          <w:sz w:val="24"/>
          <w:szCs w:val="20"/>
        </w:rPr>
        <w:t>分</w:t>
      </w:r>
      <w:r>
        <w:rPr>
          <w:rFonts w:ascii="Times New Roman" w:hAnsi="Times New Roman" w:cs="Times New Roman" w:hint="eastAsia"/>
          <w:sz w:val="24"/>
          <w:szCs w:val="20"/>
        </w:rPr>
        <w:t>，具体如下：</w:t>
      </w:r>
      <w:r>
        <w:rPr>
          <w:rFonts w:ascii="Times New Roman" w:hAnsi="Times New Roman" w:cs="Times New Roman" w:hint="eastAsia"/>
          <w:sz w:val="24"/>
          <w:szCs w:val="20"/>
        </w:rPr>
        <w:t>CET6</w:t>
      </w:r>
      <w:r>
        <w:rPr>
          <w:rFonts w:ascii="Times New Roman" w:hAnsi="Times New Roman" w:cs="Times New Roman" w:hint="eastAsia"/>
          <w:sz w:val="24"/>
          <w:szCs w:val="20"/>
        </w:rPr>
        <w:t>级</w:t>
      </w:r>
      <w:r>
        <w:rPr>
          <w:rFonts w:ascii="Times New Roman" w:hAnsi="Times New Roman" w:cs="Times New Roman" w:hint="eastAsia"/>
          <w:sz w:val="24"/>
          <w:szCs w:val="20"/>
        </w:rPr>
        <w:t xml:space="preserve"> 580</w:t>
      </w:r>
      <w:r>
        <w:rPr>
          <w:rFonts w:ascii="Times New Roman" w:hAnsi="Times New Roman" w:cs="Times New Roman" w:hint="eastAsia"/>
          <w:sz w:val="24"/>
          <w:szCs w:val="20"/>
        </w:rPr>
        <w:t>分及以上，计</w:t>
      </w:r>
      <w:r>
        <w:rPr>
          <w:rFonts w:ascii="Times New Roman" w:hAnsi="Times New Roman" w:cs="Times New Roman" w:hint="eastAsia"/>
          <w:sz w:val="24"/>
          <w:szCs w:val="20"/>
        </w:rPr>
        <w:t>1</w:t>
      </w:r>
      <w:r>
        <w:rPr>
          <w:rFonts w:ascii="Times New Roman" w:hAnsi="Times New Roman" w:cs="Times New Roman"/>
          <w:sz w:val="24"/>
          <w:szCs w:val="20"/>
        </w:rPr>
        <w:t>00</w:t>
      </w:r>
      <w:r>
        <w:rPr>
          <w:rFonts w:ascii="Times New Roman" w:hAnsi="Times New Roman" w:cs="Times New Roman" w:hint="eastAsia"/>
          <w:sz w:val="24"/>
          <w:szCs w:val="20"/>
        </w:rPr>
        <w:t>分；</w:t>
      </w:r>
      <w:r>
        <w:rPr>
          <w:rFonts w:ascii="Times New Roman" w:hAnsi="Times New Roman" w:cs="Times New Roman" w:hint="eastAsia"/>
          <w:sz w:val="24"/>
          <w:szCs w:val="20"/>
        </w:rPr>
        <w:t>CET6</w:t>
      </w:r>
      <w:r>
        <w:rPr>
          <w:rFonts w:ascii="Times New Roman" w:hAnsi="Times New Roman" w:cs="Times New Roman" w:hint="eastAsia"/>
          <w:sz w:val="24"/>
          <w:szCs w:val="20"/>
        </w:rPr>
        <w:t>级</w:t>
      </w:r>
      <w:r>
        <w:rPr>
          <w:rFonts w:ascii="Times New Roman" w:hAnsi="Times New Roman" w:cs="Times New Roman" w:hint="eastAsia"/>
          <w:sz w:val="24"/>
          <w:szCs w:val="20"/>
        </w:rPr>
        <w:t xml:space="preserve"> 425</w:t>
      </w:r>
      <w:r>
        <w:rPr>
          <w:rFonts w:ascii="Times New Roman" w:hAnsi="Times New Roman" w:cs="Times New Roman" w:hint="eastAsia"/>
          <w:sz w:val="24"/>
          <w:szCs w:val="20"/>
        </w:rPr>
        <w:t>分及以上计</w:t>
      </w:r>
      <w:r>
        <w:rPr>
          <w:rFonts w:ascii="Times New Roman" w:hAnsi="Times New Roman" w:cs="Times New Roman" w:hint="eastAsia"/>
          <w:sz w:val="24"/>
          <w:szCs w:val="20"/>
        </w:rPr>
        <w:t>60</w:t>
      </w:r>
      <w:r>
        <w:rPr>
          <w:rFonts w:ascii="Times New Roman" w:hAnsi="Times New Roman" w:cs="Times New Roman" w:hint="eastAsia"/>
          <w:sz w:val="24"/>
          <w:szCs w:val="20"/>
        </w:rPr>
        <w:t>分；</w:t>
      </w:r>
      <w:r>
        <w:rPr>
          <w:rFonts w:ascii="Times New Roman" w:hAnsi="Times New Roman" w:cs="Times New Roman" w:hint="eastAsia"/>
          <w:sz w:val="24"/>
          <w:szCs w:val="20"/>
        </w:rPr>
        <w:t>CET4</w:t>
      </w:r>
      <w:r>
        <w:rPr>
          <w:rFonts w:ascii="Times New Roman" w:hAnsi="Times New Roman" w:cs="Times New Roman" w:hint="eastAsia"/>
          <w:sz w:val="24"/>
          <w:szCs w:val="20"/>
        </w:rPr>
        <w:t>级</w:t>
      </w:r>
      <w:r>
        <w:rPr>
          <w:rFonts w:ascii="Times New Roman" w:hAnsi="Times New Roman" w:cs="Times New Roman" w:hint="eastAsia"/>
          <w:sz w:val="24"/>
          <w:szCs w:val="20"/>
        </w:rPr>
        <w:t xml:space="preserve"> </w:t>
      </w:r>
      <w:r>
        <w:rPr>
          <w:rFonts w:ascii="Times New Roman" w:hAnsi="Times New Roman" w:cs="Times New Roman"/>
          <w:sz w:val="24"/>
          <w:szCs w:val="20"/>
        </w:rPr>
        <w:t>580</w:t>
      </w:r>
      <w:r>
        <w:rPr>
          <w:rFonts w:ascii="Times New Roman" w:hAnsi="Times New Roman" w:cs="Times New Roman" w:hint="eastAsia"/>
          <w:sz w:val="24"/>
          <w:szCs w:val="20"/>
        </w:rPr>
        <w:t>分及以上计</w:t>
      </w:r>
      <w:r>
        <w:rPr>
          <w:rFonts w:ascii="Times New Roman" w:hAnsi="Times New Roman" w:cs="Times New Roman" w:hint="eastAsia"/>
          <w:sz w:val="24"/>
          <w:szCs w:val="20"/>
        </w:rPr>
        <w:t>3</w:t>
      </w:r>
      <w:r>
        <w:rPr>
          <w:rFonts w:ascii="Times New Roman" w:hAnsi="Times New Roman" w:cs="Times New Roman"/>
          <w:sz w:val="24"/>
          <w:szCs w:val="20"/>
        </w:rPr>
        <w:t>0</w:t>
      </w:r>
      <w:r>
        <w:rPr>
          <w:rFonts w:ascii="Times New Roman" w:hAnsi="Times New Roman" w:cs="Times New Roman" w:hint="eastAsia"/>
          <w:sz w:val="24"/>
          <w:szCs w:val="20"/>
        </w:rPr>
        <w:t>分；</w:t>
      </w:r>
      <w:r>
        <w:rPr>
          <w:rFonts w:ascii="Times New Roman" w:hAnsi="Times New Roman" w:cs="Times New Roman" w:hint="eastAsia"/>
          <w:sz w:val="24"/>
          <w:szCs w:val="20"/>
        </w:rPr>
        <w:t>CET4</w:t>
      </w:r>
      <w:r>
        <w:rPr>
          <w:rFonts w:ascii="Times New Roman" w:hAnsi="Times New Roman" w:cs="Times New Roman" w:hint="eastAsia"/>
          <w:sz w:val="24"/>
          <w:szCs w:val="20"/>
        </w:rPr>
        <w:t>级</w:t>
      </w:r>
      <w:r>
        <w:rPr>
          <w:rFonts w:ascii="Times New Roman" w:hAnsi="Times New Roman" w:cs="Times New Roman" w:hint="eastAsia"/>
          <w:sz w:val="24"/>
          <w:szCs w:val="20"/>
        </w:rPr>
        <w:t xml:space="preserve"> 425</w:t>
      </w:r>
      <w:r>
        <w:rPr>
          <w:rFonts w:ascii="Times New Roman" w:hAnsi="Times New Roman" w:cs="Times New Roman" w:hint="eastAsia"/>
          <w:sz w:val="24"/>
          <w:szCs w:val="20"/>
        </w:rPr>
        <w:t>分及以上计</w:t>
      </w:r>
      <w:r>
        <w:rPr>
          <w:rFonts w:ascii="Times New Roman" w:hAnsi="Times New Roman" w:cs="Times New Roman" w:hint="eastAsia"/>
          <w:sz w:val="24"/>
          <w:szCs w:val="20"/>
        </w:rPr>
        <w:t>15</w:t>
      </w:r>
      <w:r>
        <w:rPr>
          <w:rFonts w:ascii="Times New Roman" w:hAnsi="Times New Roman" w:cs="Times New Roman" w:hint="eastAsia"/>
          <w:sz w:val="24"/>
          <w:szCs w:val="20"/>
        </w:rPr>
        <w:t>分。就高计分。</w:t>
      </w:r>
      <w:r>
        <w:rPr>
          <w:rFonts w:ascii="Times New Roman" w:hAnsi="Times New Roman" w:cs="Times New Roman"/>
          <w:sz w:val="24"/>
          <w:szCs w:val="20"/>
        </w:rPr>
        <w:t>该项占学业综合成绩的</w:t>
      </w:r>
      <w:r>
        <w:rPr>
          <w:rFonts w:ascii="Times New Roman" w:hAnsi="Times New Roman" w:cs="Times New Roman" w:hint="eastAsia"/>
          <w:sz w:val="24"/>
          <w:szCs w:val="20"/>
        </w:rPr>
        <w:t>5</w:t>
      </w:r>
      <w:r>
        <w:rPr>
          <w:rFonts w:ascii="Times New Roman" w:hAnsi="Times New Roman" w:cs="Times New Roman"/>
          <w:sz w:val="24"/>
          <w:szCs w:val="20"/>
        </w:rPr>
        <w:t>%</w:t>
      </w:r>
      <w:r>
        <w:rPr>
          <w:rFonts w:ascii="Times New Roman" w:hAnsi="Times New Roman" w:cs="Times New Roman" w:hint="eastAsia"/>
          <w:sz w:val="24"/>
          <w:szCs w:val="20"/>
        </w:rPr>
        <w:t>。</w:t>
      </w:r>
    </w:p>
    <w:p w14:paraId="671357F9" w14:textId="77777777" w:rsidR="002A7546" w:rsidRDefault="00B76D73">
      <w:pPr>
        <w:pStyle w:val="2"/>
        <w:spacing w:line="360" w:lineRule="auto"/>
        <w:ind w:firstLineChars="200"/>
        <w:rPr>
          <w:rFonts w:eastAsiaTheme="minorEastAsia"/>
          <w:sz w:val="24"/>
        </w:rPr>
      </w:pPr>
      <w:r>
        <w:rPr>
          <w:rFonts w:eastAsiaTheme="minorEastAsia" w:hint="eastAsia"/>
          <w:sz w:val="24"/>
        </w:rPr>
        <w:t>三、</w:t>
      </w:r>
      <w:r>
        <w:rPr>
          <w:rFonts w:eastAsiaTheme="minorEastAsia" w:hint="eastAsia"/>
          <w:b/>
          <w:bCs/>
          <w:sz w:val="24"/>
        </w:rPr>
        <w:t>个人社会贡献</w:t>
      </w:r>
      <w:bookmarkStart w:id="0" w:name="_Hlk51960074"/>
      <w:r>
        <w:rPr>
          <w:rFonts w:eastAsiaTheme="minorEastAsia" w:hint="eastAsia"/>
          <w:b/>
          <w:bCs/>
          <w:sz w:val="24"/>
        </w:rPr>
        <w:t>满分为</w:t>
      </w:r>
      <w:r>
        <w:rPr>
          <w:rFonts w:eastAsiaTheme="minorEastAsia" w:hint="eastAsia"/>
          <w:b/>
          <w:bCs/>
          <w:sz w:val="24"/>
        </w:rPr>
        <w:t>100</w:t>
      </w:r>
      <w:r>
        <w:rPr>
          <w:rFonts w:eastAsiaTheme="minorEastAsia" w:hint="eastAsia"/>
          <w:b/>
          <w:bCs/>
          <w:sz w:val="24"/>
        </w:rPr>
        <w:t>分</w:t>
      </w:r>
      <w:bookmarkEnd w:id="0"/>
      <w:r>
        <w:rPr>
          <w:rFonts w:eastAsiaTheme="minorEastAsia" w:hint="eastAsia"/>
          <w:sz w:val="24"/>
        </w:rPr>
        <w:t>，由参军入伍服兵役（计</w:t>
      </w:r>
      <w:r>
        <w:rPr>
          <w:rFonts w:eastAsiaTheme="minorEastAsia" w:hint="eastAsia"/>
          <w:sz w:val="24"/>
        </w:rPr>
        <w:t>40</w:t>
      </w:r>
      <w:r>
        <w:rPr>
          <w:rFonts w:eastAsiaTheme="minorEastAsia" w:hint="eastAsia"/>
          <w:sz w:val="24"/>
        </w:rPr>
        <w:t>分）、参加学校组织并经认定的志愿者服务（</w:t>
      </w:r>
      <w:r>
        <w:rPr>
          <w:sz w:val="24"/>
        </w:rPr>
        <w:t>国际、国家级计</w:t>
      </w:r>
      <w:r>
        <w:rPr>
          <w:rFonts w:hint="eastAsia"/>
          <w:sz w:val="24"/>
        </w:rPr>
        <w:t>3</w:t>
      </w:r>
      <w:r>
        <w:rPr>
          <w:sz w:val="24"/>
        </w:rPr>
        <w:t>0</w:t>
      </w:r>
      <w:r>
        <w:rPr>
          <w:sz w:val="24"/>
        </w:rPr>
        <w:t>分，市级计</w:t>
      </w:r>
      <w:r>
        <w:rPr>
          <w:rFonts w:hint="eastAsia"/>
          <w:sz w:val="24"/>
        </w:rPr>
        <w:t>2</w:t>
      </w:r>
      <w:r>
        <w:rPr>
          <w:sz w:val="24"/>
        </w:rPr>
        <w:t>0</w:t>
      </w:r>
      <w:r>
        <w:rPr>
          <w:sz w:val="24"/>
        </w:rPr>
        <w:t>分，</w:t>
      </w:r>
      <w:r>
        <w:rPr>
          <w:rFonts w:hint="eastAsia"/>
          <w:sz w:val="24"/>
        </w:rPr>
        <w:t>区级及校级、院级</w:t>
      </w:r>
      <w:r>
        <w:rPr>
          <w:sz w:val="24"/>
        </w:rPr>
        <w:t>计</w:t>
      </w:r>
      <w:r>
        <w:rPr>
          <w:rFonts w:hint="eastAsia"/>
          <w:sz w:val="24"/>
        </w:rPr>
        <w:t>10</w:t>
      </w:r>
      <w:r>
        <w:rPr>
          <w:sz w:val="24"/>
        </w:rPr>
        <w:t>分</w:t>
      </w:r>
      <w:r>
        <w:rPr>
          <w:rFonts w:hint="eastAsia"/>
          <w:sz w:val="24"/>
        </w:rPr>
        <w:t>，以志愿者证书署章单位级别为界定</w:t>
      </w:r>
      <w:r>
        <w:rPr>
          <w:rFonts w:eastAsiaTheme="minorEastAsia" w:hint="eastAsia"/>
          <w:sz w:val="24"/>
        </w:rPr>
        <w:t>）、参加学校组织并经认定的国际组织实习（计</w:t>
      </w:r>
      <w:r>
        <w:rPr>
          <w:rFonts w:eastAsiaTheme="minorEastAsia" w:hint="eastAsia"/>
          <w:sz w:val="24"/>
        </w:rPr>
        <w:t>30</w:t>
      </w:r>
      <w:r>
        <w:rPr>
          <w:rFonts w:eastAsiaTheme="minorEastAsia" w:hint="eastAsia"/>
          <w:sz w:val="24"/>
        </w:rPr>
        <w:t>分），三部分组成。同一类别有多项的，原则上只计一项。</w:t>
      </w:r>
    </w:p>
    <w:p w14:paraId="6C22DCAC" w14:textId="4679B11B" w:rsidR="002A7546" w:rsidRDefault="00B76D73">
      <w:pPr>
        <w:pStyle w:val="2"/>
        <w:spacing w:line="360" w:lineRule="auto"/>
        <w:ind w:firstLineChars="200"/>
        <w:rPr>
          <w:rFonts w:eastAsiaTheme="minorEastAsia"/>
          <w:sz w:val="24"/>
        </w:rPr>
      </w:pPr>
      <w:r>
        <w:rPr>
          <w:rFonts w:eastAsiaTheme="minorEastAsia" w:hint="eastAsia"/>
          <w:sz w:val="24"/>
        </w:rPr>
        <w:t>四、</w:t>
      </w:r>
      <w:r>
        <w:rPr>
          <w:rFonts w:eastAsiaTheme="minorEastAsia" w:hint="eastAsia"/>
          <w:b/>
          <w:bCs/>
          <w:sz w:val="24"/>
        </w:rPr>
        <w:t>特殊学术专长成绩满分为</w:t>
      </w:r>
      <w:r>
        <w:rPr>
          <w:rFonts w:eastAsiaTheme="minorEastAsia" w:hint="eastAsia"/>
          <w:b/>
          <w:bCs/>
          <w:sz w:val="24"/>
        </w:rPr>
        <w:t>100</w:t>
      </w:r>
      <w:r>
        <w:rPr>
          <w:rFonts w:eastAsiaTheme="minorEastAsia" w:hint="eastAsia"/>
          <w:b/>
          <w:bCs/>
          <w:sz w:val="24"/>
        </w:rPr>
        <w:t>分</w:t>
      </w:r>
      <w:r>
        <w:rPr>
          <w:rFonts w:eastAsiaTheme="minorEastAsia" w:hint="eastAsia"/>
          <w:sz w:val="24"/>
        </w:rPr>
        <w:t>，由科研论文、科研竞赛获奖两部分组成。同一类别有多项的，原则上只</w:t>
      </w:r>
      <w:r w:rsidR="00825249">
        <w:rPr>
          <w:rFonts w:eastAsiaTheme="minorEastAsia" w:hint="eastAsia"/>
          <w:sz w:val="24"/>
        </w:rPr>
        <w:t>计</w:t>
      </w:r>
      <w:r>
        <w:rPr>
          <w:rFonts w:eastAsiaTheme="minorEastAsia" w:hint="eastAsia"/>
          <w:sz w:val="24"/>
        </w:rPr>
        <w:t>一项。计分如下：</w:t>
      </w:r>
    </w:p>
    <w:p w14:paraId="1F286A83" w14:textId="77777777" w:rsidR="002A7546" w:rsidRDefault="00B76D73">
      <w:pPr>
        <w:pStyle w:val="2"/>
        <w:spacing w:line="360" w:lineRule="auto"/>
        <w:ind w:firstLineChars="200"/>
        <w:rPr>
          <w:rFonts w:eastAsiaTheme="minorEastAsia"/>
          <w:sz w:val="24"/>
        </w:rPr>
      </w:pPr>
      <w:r>
        <w:rPr>
          <w:rFonts w:eastAsiaTheme="minorEastAsia" w:hint="eastAsia"/>
          <w:sz w:val="24"/>
        </w:rPr>
        <w:t>1</w:t>
      </w:r>
      <w:r>
        <w:rPr>
          <w:rFonts w:eastAsiaTheme="minorEastAsia" w:hint="eastAsia"/>
          <w:sz w:val="24"/>
        </w:rPr>
        <w:t>、学生与其亲属或其他利益相关者（不含指导教师）合作的科研成果、竞赛奖项等不计分。</w:t>
      </w:r>
    </w:p>
    <w:p w14:paraId="10789DEF" w14:textId="77777777" w:rsidR="002A7546" w:rsidRDefault="00B76D73">
      <w:pPr>
        <w:pStyle w:val="2"/>
        <w:spacing w:line="360" w:lineRule="auto"/>
        <w:ind w:firstLineChars="200"/>
        <w:rPr>
          <w:rFonts w:eastAsiaTheme="minorEastAsia"/>
          <w:sz w:val="24"/>
        </w:rPr>
      </w:pPr>
      <w:r>
        <w:rPr>
          <w:rFonts w:eastAsiaTheme="minorEastAsia" w:hint="eastAsia"/>
          <w:sz w:val="24"/>
        </w:rPr>
        <w:t>2</w:t>
      </w:r>
      <w:r>
        <w:rPr>
          <w:rFonts w:eastAsiaTheme="minorEastAsia" w:hint="eastAsia"/>
          <w:sz w:val="24"/>
        </w:rPr>
        <w:t>、本科阶段在核心期刊及以上刊物以</w:t>
      </w:r>
      <w:bookmarkStart w:id="1" w:name="_Hlk176557484"/>
      <w:r>
        <w:rPr>
          <w:rFonts w:eastAsiaTheme="minorEastAsia" w:hint="eastAsia"/>
          <w:sz w:val="24"/>
        </w:rPr>
        <w:t>独立作者或第一作者</w:t>
      </w:r>
      <w:bookmarkEnd w:id="1"/>
      <w:r>
        <w:rPr>
          <w:rFonts w:eastAsiaTheme="minorEastAsia" w:hint="eastAsia"/>
          <w:sz w:val="24"/>
        </w:rPr>
        <w:t>发表的与专业相关且上海师范大学为第一单位的科研论文，其中</w:t>
      </w:r>
      <w:r>
        <w:rPr>
          <w:rFonts w:eastAsiaTheme="minorEastAsia" w:hint="eastAsia"/>
          <w:sz w:val="24"/>
        </w:rPr>
        <w:t>SCI/SSCI</w:t>
      </w:r>
      <w:r>
        <w:rPr>
          <w:rFonts w:eastAsiaTheme="minorEastAsia" w:hint="eastAsia"/>
          <w:sz w:val="24"/>
        </w:rPr>
        <w:t>中科院一区计</w:t>
      </w:r>
      <w:r>
        <w:rPr>
          <w:rFonts w:eastAsiaTheme="minorEastAsia" w:hint="eastAsia"/>
          <w:sz w:val="24"/>
        </w:rPr>
        <w:t>50</w:t>
      </w:r>
      <w:r>
        <w:rPr>
          <w:rFonts w:eastAsiaTheme="minorEastAsia" w:hint="eastAsia"/>
          <w:sz w:val="24"/>
        </w:rPr>
        <w:t>分，</w:t>
      </w:r>
      <w:r>
        <w:rPr>
          <w:rFonts w:eastAsiaTheme="minorEastAsia" w:hint="eastAsia"/>
          <w:sz w:val="24"/>
        </w:rPr>
        <w:t>SCI/SSCI</w:t>
      </w:r>
      <w:r>
        <w:rPr>
          <w:rFonts w:eastAsiaTheme="minorEastAsia" w:hint="eastAsia"/>
          <w:sz w:val="24"/>
        </w:rPr>
        <w:t>中科院二区计</w:t>
      </w:r>
      <w:r>
        <w:rPr>
          <w:rFonts w:eastAsiaTheme="minorEastAsia" w:hint="eastAsia"/>
          <w:sz w:val="24"/>
        </w:rPr>
        <w:t>40</w:t>
      </w:r>
      <w:r>
        <w:rPr>
          <w:rFonts w:eastAsiaTheme="minorEastAsia" w:hint="eastAsia"/>
          <w:sz w:val="24"/>
        </w:rPr>
        <w:t>分，</w:t>
      </w:r>
      <w:r>
        <w:rPr>
          <w:rFonts w:eastAsiaTheme="minorEastAsia" w:hint="eastAsia"/>
          <w:sz w:val="24"/>
        </w:rPr>
        <w:t>SCI/SSCI</w:t>
      </w:r>
      <w:r>
        <w:rPr>
          <w:rFonts w:eastAsiaTheme="minorEastAsia" w:hint="eastAsia"/>
          <w:sz w:val="24"/>
        </w:rPr>
        <w:t>中科院三区计</w:t>
      </w:r>
      <w:r>
        <w:rPr>
          <w:rFonts w:eastAsiaTheme="minorEastAsia" w:hint="eastAsia"/>
          <w:sz w:val="24"/>
        </w:rPr>
        <w:t>35</w:t>
      </w:r>
      <w:r>
        <w:rPr>
          <w:rFonts w:eastAsiaTheme="minorEastAsia" w:hint="eastAsia"/>
          <w:sz w:val="24"/>
        </w:rPr>
        <w:t>分，</w:t>
      </w:r>
      <w:r>
        <w:rPr>
          <w:rFonts w:eastAsiaTheme="minorEastAsia" w:hint="eastAsia"/>
          <w:sz w:val="24"/>
        </w:rPr>
        <w:t>SCI/SSCI</w:t>
      </w:r>
      <w:r>
        <w:rPr>
          <w:rFonts w:eastAsiaTheme="minorEastAsia" w:hint="eastAsia"/>
          <w:sz w:val="24"/>
        </w:rPr>
        <w:t>中科院四区、</w:t>
      </w:r>
      <w:r>
        <w:rPr>
          <w:rFonts w:eastAsiaTheme="minorEastAsia" w:hint="eastAsia"/>
          <w:sz w:val="24"/>
        </w:rPr>
        <w:t>EI</w:t>
      </w:r>
      <w:r>
        <w:rPr>
          <w:rFonts w:eastAsiaTheme="minorEastAsia" w:hint="eastAsia"/>
          <w:sz w:val="24"/>
        </w:rPr>
        <w:t>、北大或南大中文核心期刊计</w:t>
      </w:r>
      <w:r>
        <w:rPr>
          <w:rFonts w:eastAsiaTheme="minorEastAsia" w:hint="eastAsia"/>
          <w:sz w:val="24"/>
        </w:rPr>
        <w:t>30</w:t>
      </w:r>
      <w:r>
        <w:rPr>
          <w:rFonts w:eastAsiaTheme="minorEastAsia" w:hint="eastAsia"/>
          <w:sz w:val="24"/>
        </w:rPr>
        <w:t>分。与导师联合发表高水平科研论文（导师第一作者，学生第二作者，且导师需出具书面推荐信，明确学生在文章中</w:t>
      </w:r>
      <w:r>
        <w:rPr>
          <w:rFonts w:eastAsiaTheme="minorEastAsia" w:hint="eastAsia"/>
          <w:sz w:val="24"/>
        </w:rPr>
        <w:lastRenderedPageBreak/>
        <w:t>的贡献度），按同等级期刊独立作者或第一作者分值乘以</w:t>
      </w:r>
      <w:r>
        <w:rPr>
          <w:rFonts w:eastAsiaTheme="minorEastAsia" w:hint="eastAsia"/>
          <w:sz w:val="24"/>
        </w:rPr>
        <w:t>5</w:t>
      </w:r>
      <w:r>
        <w:rPr>
          <w:rFonts w:eastAsiaTheme="minorEastAsia"/>
          <w:sz w:val="24"/>
        </w:rPr>
        <w:t>0</w:t>
      </w:r>
      <w:r>
        <w:rPr>
          <w:rFonts w:eastAsiaTheme="minorEastAsia" w:hint="eastAsia"/>
          <w:sz w:val="24"/>
        </w:rPr>
        <w:t>%</w:t>
      </w:r>
      <w:r>
        <w:rPr>
          <w:rFonts w:eastAsiaTheme="minorEastAsia" w:hint="eastAsia"/>
          <w:sz w:val="24"/>
        </w:rPr>
        <w:t>。对学生提交的多篇科研成果实行代表作评价。</w:t>
      </w:r>
    </w:p>
    <w:p w14:paraId="567A454E" w14:textId="77777777" w:rsidR="002A7546" w:rsidRDefault="00B76D73">
      <w:pPr>
        <w:pStyle w:val="2"/>
        <w:spacing w:line="360" w:lineRule="auto"/>
        <w:ind w:firstLineChars="200"/>
        <w:rPr>
          <w:rFonts w:eastAsiaTheme="minorEastAsia"/>
          <w:sz w:val="24"/>
        </w:rPr>
      </w:pPr>
      <w:r w:rsidRPr="00B76D73">
        <w:rPr>
          <w:rFonts w:eastAsiaTheme="minorEastAsia" w:hint="eastAsia"/>
          <w:sz w:val="24"/>
        </w:rPr>
        <w:t>3</w:t>
      </w:r>
      <w:r w:rsidRPr="00B76D73">
        <w:rPr>
          <w:rFonts w:eastAsiaTheme="minorEastAsia" w:hint="eastAsia"/>
          <w:sz w:val="24"/>
        </w:rPr>
        <w:t>、独立或作为主力成员（排名第</w:t>
      </w:r>
      <w:r w:rsidRPr="00B76D73">
        <w:rPr>
          <w:rFonts w:eastAsiaTheme="minorEastAsia" w:hint="eastAsia"/>
          <w:sz w:val="24"/>
        </w:rPr>
        <w:t>1</w:t>
      </w:r>
      <w:r w:rsidRPr="00B76D73">
        <w:rPr>
          <w:rFonts w:eastAsiaTheme="minorEastAsia" w:hint="eastAsia"/>
          <w:sz w:val="24"/>
        </w:rPr>
        <w:t>至第</w:t>
      </w:r>
      <w:r w:rsidRPr="00B76D73">
        <w:rPr>
          <w:rFonts w:eastAsiaTheme="minorEastAsia" w:hint="eastAsia"/>
          <w:sz w:val="24"/>
        </w:rPr>
        <w:t>5</w:t>
      </w:r>
      <w:r w:rsidRPr="00B76D73">
        <w:rPr>
          <w:rFonts w:eastAsiaTheme="minorEastAsia" w:hint="eastAsia"/>
          <w:sz w:val="24"/>
        </w:rPr>
        <w:t>）参加国内权威科研竞赛（含学科竞赛、技能竞赛和创新创业竞赛）并获得三等奖及以上奖励（国际赛事参照执行，但不得低于国内赛事相关要求）。按照下列说明计分（非排名第</w:t>
      </w:r>
      <w:r w:rsidRPr="00B76D73">
        <w:rPr>
          <w:rFonts w:eastAsiaTheme="minorEastAsia" w:hint="eastAsia"/>
          <w:sz w:val="24"/>
        </w:rPr>
        <w:t>1</w:t>
      </w:r>
      <w:r w:rsidRPr="00B76D73">
        <w:rPr>
          <w:rFonts w:eastAsiaTheme="minorEastAsia" w:hint="eastAsia"/>
          <w:sz w:val="24"/>
        </w:rPr>
        <w:t>的主力成员计</w:t>
      </w:r>
      <w:r w:rsidRPr="00B76D73">
        <w:rPr>
          <w:rFonts w:eastAsiaTheme="minorEastAsia" w:hint="eastAsia"/>
          <w:sz w:val="24"/>
        </w:rPr>
        <w:t>50%</w:t>
      </w:r>
      <w:r w:rsidRPr="00B76D73">
        <w:rPr>
          <w:rFonts w:eastAsiaTheme="minorEastAsia" w:hint="eastAsia"/>
          <w:sz w:val="24"/>
        </w:rPr>
        <w:t>）：</w:t>
      </w:r>
      <w:r w:rsidRPr="00B76D73">
        <w:rPr>
          <w:rFonts w:eastAsiaTheme="minorEastAsia" w:hint="eastAsia"/>
          <w:sz w:val="24"/>
        </w:rPr>
        <w:t>A1</w:t>
      </w:r>
      <w:r w:rsidRPr="00B76D73">
        <w:rPr>
          <w:rFonts w:eastAsiaTheme="minorEastAsia" w:hint="eastAsia"/>
          <w:sz w:val="24"/>
        </w:rPr>
        <w:t>类一等奖计</w:t>
      </w:r>
      <w:r w:rsidRPr="00B76D73">
        <w:rPr>
          <w:rFonts w:eastAsiaTheme="minorEastAsia" w:hint="eastAsia"/>
          <w:sz w:val="24"/>
        </w:rPr>
        <w:t>5</w:t>
      </w:r>
      <w:r w:rsidRPr="00B76D73">
        <w:rPr>
          <w:rFonts w:eastAsiaTheme="minorEastAsia"/>
          <w:sz w:val="24"/>
        </w:rPr>
        <w:t>0</w:t>
      </w:r>
      <w:r w:rsidRPr="00B76D73">
        <w:rPr>
          <w:rFonts w:eastAsiaTheme="minorEastAsia" w:hint="eastAsia"/>
          <w:sz w:val="24"/>
        </w:rPr>
        <w:t>分，二等奖</w:t>
      </w:r>
      <w:r w:rsidRPr="00B76D73">
        <w:rPr>
          <w:rFonts w:eastAsiaTheme="minorEastAsia" w:hint="eastAsia"/>
          <w:sz w:val="24"/>
        </w:rPr>
        <w:t>4</w:t>
      </w:r>
      <w:r>
        <w:rPr>
          <w:rFonts w:eastAsiaTheme="minorEastAsia" w:hint="eastAsia"/>
          <w:sz w:val="24"/>
        </w:rPr>
        <w:t>5</w:t>
      </w:r>
      <w:r>
        <w:rPr>
          <w:rFonts w:eastAsiaTheme="minorEastAsia" w:hint="eastAsia"/>
          <w:sz w:val="24"/>
        </w:rPr>
        <w:t>分，三等奖</w:t>
      </w:r>
      <w:r>
        <w:rPr>
          <w:rFonts w:eastAsiaTheme="minorEastAsia" w:hint="eastAsia"/>
          <w:sz w:val="24"/>
        </w:rPr>
        <w:t>40</w:t>
      </w:r>
      <w:r>
        <w:rPr>
          <w:rFonts w:eastAsiaTheme="minorEastAsia" w:hint="eastAsia"/>
          <w:sz w:val="24"/>
        </w:rPr>
        <w:t>分；</w:t>
      </w:r>
      <w:r>
        <w:rPr>
          <w:rFonts w:eastAsiaTheme="minorEastAsia" w:hint="eastAsia"/>
          <w:sz w:val="24"/>
        </w:rPr>
        <w:t>B1</w:t>
      </w:r>
      <w:r>
        <w:rPr>
          <w:rFonts w:eastAsiaTheme="minorEastAsia" w:hint="eastAsia"/>
          <w:sz w:val="24"/>
        </w:rPr>
        <w:t>类一等奖</w:t>
      </w:r>
      <w:r>
        <w:rPr>
          <w:rFonts w:eastAsiaTheme="minorEastAsia" w:hint="eastAsia"/>
          <w:sz w:val="24"/>
        </w:rPr>
        <w:t>35</w:t>
      </w:r>
      <w:r>
        <w:rPr>
          <w:rFonts w:eastAsiaTheme="minorEastAsia" w:hint="eastAsia"/>
          <w:sz w:val="24"/>
        </w:rPr>
        <w:t>分，二等奖</w:t>
      </w:r>
      <w:r>
        <w:rPr>
          <w:rFonts w:eastAsiaTheme="minorEastAsia" w:hint="eastAsia"/>
          <w:sz w:val="24"/>
        </w:rPr>
        <w:t>30</w:t>
      </w:r>
      <w:r>
        <w:rPr>
          <w:rFonts w:eastAsiaTheme="minorEastAsia" w:hint="eastAsia"/>
          <w:sz w:val="24"/>
        </w:rPr>
        <w:t>分，三等奖</w:t>
      </w:r>
      <w:r>
        <w:rPr>
          <w:rFonts w:eastAsiaTheme="minorEastAsia" w:hint="eastAsia"/>
          <w:sz w:val="24"/>
        </w:rPr>
        <w:t>25</w:t>
      </w:r>
      <w:r>
        <w:rPr>
          <w:rFonts w:eastAsiaTheme="minorEastAsia" w:hint="eastAsia"/>
          <w:sz w:val="24"/>
        </w:rPr>
        <w:t>分；</w:t>
      </w:r>
      <w:r>
        <w:rPr>
          <w:rFonts w:eastAsiaTheme="minorEastAsia" w:hint="eastAsia"/>
          <w:sz w:val="24"/>
        </w:rPr>
        <w:t>A2</w:t>
      </w:r>
      <w:r>
        <w:rPr>
          <w:rFonts w:eastAsiaTheme="minorEastAsia" w:hint="eastAsia"/>
          <w:sz w:val="24"/>
        </w:rPr>
        <w:t>类一等奖计</w:t>
      </w:r>
      <w:r>
        <w:rPr>
          <w:rFonts w:eastAsiaTheme="minorEastAsia" w:hint="eastAsia"/>
          <w:sz w:val="24"/>
        </w:rPr>
        <w:t>25</w:t>
      </w:r>
      <w:r>
        <w:rPr>
          <w:rFonts w:eastAsiaTheme="minorEastAsia" w:hint="eastAsia"/>
          <w:sz w:val="24"/>
        </w:rPr>
        <w:t>分，二等奖</w:t>
      </w:r>
      <w:r>
        <w:rPr>
          <w:rFonts w:eastAsiaTheme="minorEastAsia" w:hint="eastAsia"/>
          <w:sz w:val="24"/>
        </w:rPr>
        <w:t>20</w:t>
      </w:r>
      <w:r>
        <w:rPr>
          <w:rFonts w:eastAsiaTheme="minorEastAsia" w:hint="eastAsia"/>
          <w:sz w:val="24"/>
        </w:rPr>
        <w:t>分，三等奖</w:t>
      </w:r>
      <w:r>
        <w:rPr>
          <w:rFonts w:eastAsiaTheme="minorEastAsia" w:hint="eastAsia"/>
          <w:sz w:val="24"/>
        </w:rPr>
        <w:t>15</w:t>
      </w:r>
      <w:r>
        <w:rPr>
          <w:rFonts w:eastAsiaTheme="minorEastAsia" w:hint="eastAsia"/>
          <w:sz w:val="24"/>
        </w:rPr>
        <w:t>分；</w:t>
      </w:r>
      <w:r>
        <w:rPr>
          <w:rFonts w:eastAsiaTheme="minorEastAsia" w:hint="eastAsia"/>
          <w:sz w:val="24"/>
        </w:rPr>
        <w:t>B2</w:t>
      </w:r>
      <w:r>
        <w:rPr>
          <w:rFonts w:eastAsiaTheme="minorEastAsia" w:hint="eastAsia"/>
          <w:sz w:val="24"/>
        </w:rPr>
        <w:t>类一等奖</w:t>
      </w:r>
      <w:r>
        <w:rPr>
          <w:rFonts w:eastAsiaTheme="minorEastAsia" w:hint="eastAsia"/>
          <w:sz w:val="24"/>
        </w:rPr>
        <w:t>20</w:t>
      </w:r>
      <w:r>
        <w:rPr>
          <w:rFonts w:eastAsiaTheme="minorEastAsia" w:hint="eastAsia"/>
          <w:sz w:val="24"/>
        </w:rPr>
        <w:t>分，二等奖</w:t>
      </w:r>
      <w:r>
        <w:rPr>
          <w:rFonts w:eastAsiaTheme="minorEastAsia" w:hint="eastAsia"/>
          <w:sz w:val="24"/>
        </w:rPr>
        <w:t>15</w:t>
      </w:r>
      <w:r>
        <w:rPr>
          <w:rFonts w:eastAsiaTheme="minorEastAsia" w:hint="eastAsia"/>
          <w:sz w:val="24"/>
        </w:rPr>
        <w:t>分，三等奖</w:t>
      </w:r>
      <w:r>
        <w:rPr>
          <w:rFonts w:eastAsiaTheme="minorEastAsia" w:hint="eastAsia"/>
          <w:sz w:val="24"/>
        </w:rPr>
        <w:t>10</w:t>
      </w:r>
      <w:r>
        <w:rPr>
          <w:rFonts w:eastAsiaTheme="minorEastAsia" w:hint="eastAsia"/>
          <w:sz w:val="24"/>
        </w:rPr>
        <w:t>分。竞赛名录详见附件，非目录内的竞赛不计分。</w:t>
      </w:r>
    </w:p>
    <w:p w14:paraId="06C67212" w14:textId="77777777" w:rsidR="002A7546" w:rsidRDefault="00B76D73">
      <w:pPr>
        <w:pStyle w:val="2"/>
        <w:spacing w:line="360" w:lineRule="auto"/>
        <w:ind w:firstLineChars="200" w:firstLine="482"/>
        <w:rPr>
          <w:rFonts w:eastAsiaTheme="minorEastAsia"/>
          <w:b/>
          <w:sz w:val="24"/>
        </w:rPr>
      </w:pPr>
      <w:r>
        <w:rPr>
          <w:rFonts w:eastAsiaTheme="minorEastAsia" w:hint="eastAsia"/>
          <w:b/>
          <w:sz w:val="24"/>
        </w:rPr>
        <w:t>五、计算公式：综合得分</w:t>
      </w:r>
      <w:r>
        <w:rPr>
          <w:rFonts w:eastAsiaTheme="minorEastAsia" w:hint="eastAsia"/>
          <w:b/>
          <w:sz w:val="24"/>
        </w:rPr>
        <w:t>=</w:t>
      </w:r>
      <w:r>
        <w:rPr>
          <w:rFonts w:eastAsiaTheme="minorEastAsia" w:hint="eastAsia"/>
          <w:b/>
          <w:sz w:val="24"/>
        </w:rPr>
        <w:t>学业综合成绩×</w:t>
      </w:r>
      <w:r>
        <w:rPr>
          <w:rFonts w:eastAsiaTheme="minorEastAsia" w:hint="eastAsia"/>
          <w:b/>
          <w:sz w:val="24"/>
        </w:rPr>
        <w:t>80%+</w:t>
      </w:r>
      <w:r>
        <w:rPr>
          <w:rFonts w:eastAsiaTheme="minorEastAsia" w:hint="eastAsia"/>
          <w:b/>
          <w:sz w:val="24"/>
        </w:rPr>
        <w:t>个人社会贡献得分×</w:t>
      </w:r>
      <w:r>
        <w:rPr>
          <w:rFonts w:eastAsiaTheme="minorEastAsia" w:hint="eastAsia"/>
          <w:b/>
          <w:sz w:val="24"/>
        </w:rPr>
        <w:t>5%+</w:t>
      </w:r>
      <w:r>
        <w:rPr>
          <w:rFonts w:eastAsiaTheme="minorEastAsia" w:hint="eastAsia"/>
          <w:b/>
          <w:sz w:val="24"/>
        </w:rPr>
        <w:t>特殊学术专长得分×</w:t>
      </w:r>
      <w:r>
        <w:rPr>
          <w:rFonts w:eastAsiaTheme="minorEastAsia" w:hint="eastAsia"/>
          <w:b/>
          <w:sz w:val="24"/>
        </w:rPr>
        <w:t>15%</w:t>
      </w:r>
      <w:r>
        <w:rPr>
          <w:rFonts w:eastAsiaTheme="minorEastAsia" w:hint="eastAsia"/>
          <w:b/>
          <w:sz w:val="24"/>
        </w:rPr>
        <w:t>。</w:t>
      </w:r>
    </w:p>
    <w:p w14:paraId="3E171991" w14:textId="77777777" w:rsidR="002A7546" w:rsidRDefault="002A7546">
      <w:pPr>
        <w:pStyle w:val="2"/>
        <w:spacing w:line="360" w:lineRule="auto"/>
        <w:ind w:firstLineChars="200"/>
        <w:rPr>
          <w:rFonts w:eastAsiaTheme="minorEastAsia"/>
          <w:sz w:val="24"/>
        </w:rPr>
      </w:pPr>
    </w:p>
    <w:p w14:paraId="6A9C9E0C" w14:textId="77777777" w:rsidR="002A7546" w:rsidRDefault="00B76D73">
      <w:pPr>
        <w:pStyle w:val="2"/>
        <w:spacing w:line="360" w:lineRule="auto"/>
        <w:ind w:firstLineChars="200"/>
        <w:jc w:val="right"/>
        <w:rPr>
          <w:sz w:val="24"/>
        </w:rPr>
      </w:pPr>
      <w:r>
        <w:rPr>
          <w:rFonts w:hint="eastAsia"/>
          <w:sz w:val="24"/>
        </w:rPr>
        <w:t>环境与地理科学学院</w:t>
      </w:r>
    </w:p>
    <w:p w14:paraId="0B741352" w14:textId="77777777" w:rsidR="002A7546" w:rsidRDefault="00B76D73">
      <w:pPr>
        <w:pStyle w:val="2"/>
        <w:spacing w:line="360" w:lineRule="auto"/>
        <w:ind w:firstLineChars="200"/>
        <w:jc w:val="right"/>
        <w:rPr>
          <w:sz w:val="24"/>
        </w:rPr>
      </w:pPr>
      <w:r>
        <w:rPr>
          <w:sz w:val="24"/>
        </w:rPr>
        <w:t>2026</w:t>
      </w:r>
      <w:r>
        <w:rPr>
          <w:rFonts w:hint="eastAsia"/>
          <w:sz w:val="24"/>
        </w:rPr>
        <w:t>年</w:t>
      </w:r>
      <w:r>
        <w:rPr>
          <w:rFonts w:hint="eastAsia"/>
          <w:sz w:val="24"/>
        </w:rPr>
        <w:t>9</w:t>
      </w:r>
      <w:r>
        <w:rPr>
          <w:rFonts w:hint="eastAsia"/>
          <w:sz w:val="24"/>
        </w:rPr>
        <w:t>月</w:t>
      </w:r>
      <w:r>
        <w:rPr>
          <w:sz w:val="24"/>
        </w:rPr>
        <w:t>1</w:t>
      </w:r>
      <w:r>
        <w:rPr>
          <w:rFonts w:hint="eastAsia"/>
          <w:sz w:val="24"/>
        </w:rPr>
        <w:t>日</w:t>
      </w:r>
    </w:p>
    <w:sectPr w:rsidR="002A75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F56E4"/>
    <w:rsid w:val="D7FF98C8"/>
    <w:rsid w:val="FB5E6919"/>
    <w:rsid w:val="000066CA"/>
    <w:rsid w:val="0000692B"/>
    <w:rsid w:val="00011EE8"/>
    <w:rsid w:val="0003097E"/>
    <w:rsid w:val="00033A1C"/>
    <w:rsid w:val="0003508B"/>
    <w:rsid w:val="00041D6D"/>
    <w:rsid w:val="000445C4"/>
    <w:rsid w:val="00070416"/>
    <w:rsid w:val="000716F4"/>
    <w:rsid w:val="00072CCB"/>
    <w:rsid w:val="00073BEF"/>
    <w:rsid w:val="00080A7C"/>
    <w:rsid w:val="000838CA"/>
    <w:rsid w:val="00090A67"/>
    <w:rsid w:val="00094F96"/>
    <w:rsid w:val="000B7EF7"/>
    <w:rsid w:val="000C2B3F"/>
    <w:rsid w:val="000C517C"/>
    <w:rsid w:val="000D08A5"/>
    <w:rsid w:val="000D0E9A"/>
    <w:rsid w:val="000D12DA"/>
    <w:rsid w:val="000E0177"/>
    <w:rsid w:val="000E3113"/>
    <w:rsid w:val="0011090A"/>
    <w:rsid w:val="00113409"/>
    <w:rsid w:val="00125A7C"/>
    <w:rsid w:val="00131446"/>
    <w:rsid w:val="00132A3F"/>
    <w:rsid w:val="00137CE8"/>
    <w:rsid w:val="001428EB"/>
    <w:rsid w:val="00165D8F"/>
    <w:rsid w:val="00186A1E"/>
    <w:rsid w:val="00192B42"/>
    <w:rsid w:val="00192BDF"/>
    <w:rsid w:val="00193116"/>
    <w:rsid w:val="001A48A1"/>
    <w:rsid w:val="001B11CE"/>
    <w:rsid w:val="001B71DD"/>
    <w:rsid w:val="001C0E7D"/>
    <w:rsid w:val="001C4F91"/>
    <w:rsid w:val="001C6BCF"/>
    <w:rsid w:val="001D49C6"/>
    <w:rsid w:val="001D64CB"/>
    <w:rsid w:val="00224670"/>
    <w:rsid w:val="00226665"/>
    <w:rsid w:val="00230D7E"/>
    <w:rsid w:val="002319C8"/>
    <w:rsid w:val="00236AEA"/>
    <w:rsid w:val="002372F5"/>
    <w:rsid w:val="0024549C"/>
    <w:rsid w:val="00245A9E"/>
    <w:rsid w:val="00265D6E"/>
    <w:rsid w:val="0027538B"/>
    <w:rsid w:val="00283AF8"/>
    <w:rsid w:val="002874A2"/>
    <w:rsid w:val="002879E7"/>
    <w:rsid w:val="00287FB4"/>
    <w:rsid w:val="00291154"/>
    <w:rsid w:val="00297471"/>
    <w:rsid w:val="002A234F"/>
    <w:rsid w:val="002A28F5"/>
    <w:rsid w:val="002A72C9"/>
    <w:rsid w:val="002A7546"/>
    <w:rsid w:val="002B13FB"/>
    <w:rsid w:val="002B2CD7"/>
    <w:rsid w:val="002B6F7F"/>
    <w:rsid w:val="002C0F08"/>
    <w:rsid w:val="002C48AD"/>
    <w:rsid w:val="002D556C"/>
    <w:rsid w:val="002D63C7"/>
    <w:rsid w:val="002E53FE"/>
    <w:rsid w:val="002F4C9D"/>
    <w:rsid w:val="00303907"/>
    <w:rsid w:val="0030580E"/>
    <w:rsid w:val="00310C2F"/>
    <w:rsid w:val="00311357"/>
    <w:rsid w:val="00325C01"/>
    <w:rsid w:val="00331047"/>
    <w:rsid w:val="003366DB"/>
    <w:rsid w:val="00337D96"/>
    <w:rsid w:val="00350050"/>
    <w:rsid w:val="00352B4E"/>
    <w:rsid w:val="00354B6A"/>
    <w:rsid w:val="00371F5F"/>
    <w:rsid w:val="00382A4B"/>
    <w:rsid w:val="00395533"/>
    <w:rsid w:val="00396605"/>
    <w:rsid w:val="00397E88"/>
    <w:rsid w:val="003A02CC"/>
    <w:rsid w:val="003A7ADC"/>
    <w:rsid w:val="003C5CA9"/>
    <w:rsid w:val="003C678B"/>
    <w:rsid w:val="003E0796"/>
    <w:rsid w:val="003E3592"/>
    <w:rsid w:val="003E59FF"/>
    <w:rsid w:val="003E6694"/>
    <w:rsid w:val="003F5B24"/>
    <w:rsid w:val="00401211"/>
    <w:rsid w:val="00405839"/>
    <w:rsid w:val="00407F5F"/>
    <w:rsid w:val="00413068"/>
    <w:rsid w:val="00413626"/>
    <w:rsid w:val="004157CD"/>
    <w:rsid w:val="00425A98"/>
    <w:rsid w:val="00426E97"/>
    <w:rsid w:val="00446775"/>
    <w:rsid w:val="004514B4"/>
    <w:rsid w:val="00466824"/>
    <w:rsid w:val="00471D24"/>
    <w:rsid w:val="00472272"/>
    <w:rsid w:val="00475BCB"/>
    <w:rsid w:val="00477E1C"/>
    <w:rsid w:val="004829F2"/>
    <w:rsid w:val="00482D23"/>
    <w:rsid w:val="00485539"/>
    <w:rsid w:val="004923EA"/>
    <w:rsid w:val="00493B8D"/>
    <w:rsid w:val="004965DA"/>
    <w:rsid w:val="00497076"/>
    <w:rsid w:val="004A0CF0"/>
    <w:rsid w:val="004A421B"/>
    <w:rsid w:val="004B225B"/>
    <w:rsid w:val="004B54AB"/>
    <w:rsid w:val="004B56EC"/>
    <w:rsid w:val="004B5A1E"/>
    <w:rsid w:val="004C4741"/>
    <w:rsid w:val="004C6566"/>
    <w:rsid w:val="004D1D58"/>
    <w:rsid w:val="004E2478"/>
    <w:rsid w:val="004E339A"/>
    <w:rsid w:val="004F56E4"/>
    <w:rsid w:val="00520F05"/>
    <w:rsid w:val="00521765"/>
    <w:rsid w:val="005220D9"/>
    <w:rsid w:val="00530CBA"/>
    <w:rsid w:val="0054203F"/>
    <w:rsid w:val="00554CAA"/>
    <w:rsid w:val="00557709"/>
    <w:rsid w:val="00560C24"/>
    <w:rsid w:val="00572C71"/>
    <w:rsid w:val="00576A78"/>
    <w:rsid w:val="00581B26"/>
    <w:rsid w:val="00582291"/>
    <w:rsid w:val="0059013D"/>
    <w:rsid w:val="005912C9"/>
    <w:rsid w:val="0059569C"/>
    <w:rsid w:val="005A6A33"/>
    <w:rsid w:val="005C094C"/>
    <w:rsid w:val="005D0311"/>
    <w:rsid w:val="005D07C5"/>
    <w:rsid w:val="005D56E0"/>
    <w:rsid w:val="005D7247"/>
    <w:rsid w:val="005F15C8"/>
    <w:rsid w:val="005F2255"/>
    <w:rsid w:val="005F249F"/>
    <w:rsid w:val="005F3AC1"/>
    <w:rsid w:val="005F3BD9"/>
    <w:rsid w:val="005F6837"/>
    <w:rsid w:val="0060645F"/>
    <w:rsid w:val="0061463E"/>
    <w:rsid w:val="006165B6"/>
    <w:rsid w:val="00626125"/>
    <w:rsid w:val="00632607"/>
    <w:rsid w:val="00642FA8"/>
    <w:rsid w:val="00660818"/>
    <w:rsid w:val="00661BDD"/>
    <w:rsid w:val="00670D6B"/>
    <w:rsid w:val="00674147"/>
    <w:rsid w:val="00676A77"/>
    <w:rsid w:val="00685BE7"/>
    <w:rsid w:val="006929F3"/>
    <w:rsid w:val="00693465"/>
    <w:rsid w:val="006A3672"/>
    <w:rsid w:val="006B4D5D"/>
    <w:rsid w:val="006C4CAF"/>
    <w:rsid w:val="006C5A37"/>
    <w:rsid w:val="006C5E39"/>
    <w:rsid w:val="006D107E"/>
    <w:rsid w:val="006D7C00"/>
    <w:rsid w:val="006E3D00"/>
    <w:rsid w:val="006F3BF2"/>
    <w:rsid w:val="00700E3F"/>
    <w:rsid w:val="00702FFF"/>
    <w:rsid w:val="00707F08"/>
    <w:rsid w:val="00710D40"/>
    <w:rsid w:val="00710FF3"/>
    <w:rsid w:val="00715256"/>
    <w:rsid w:val="00715E8F"/>
    <w:rsid w:val="00716CC9"/>
    <w:rsid w:val="0071798A"/>
    <w:rsid w:val="00723CE4"/>
    <w:rsid w:val="00727B6D"/>
    <w:rsid w:val="00733FF3"/>
    <w:rsid w:val="007342F1"/>
    <w:rsid w:val="00736EE1"/>
    <w:rsid w:val="00740372"/>
    <w:rsid w:val="00741A95"/>
    <w:rsid w:val="00752684"/>
    <w:rsid w:val="00753164"/>
    <w:rsid w:val="00755DE6"/>
    <w:rsid w:val="00757614"/>
    <w:rsid w:val="00776966"/>
    <w:rsid w:val="0077740E"/>
    <w:rsid w:val="00777EE5"/>
    <w:rsid w:val="0078556A"/>
    <w:rsid w:val="007A0AB7"/>
    <w:rsid w:val="007B0BB7"/>
    <w:rsid w:val="007B40FD"/>
    <w:rsid w:val="007B4E89"/>
    <w:rsid w:val="007B5806"/>
    <w:rsid w:val="007C02F1"/>
    <w:rsid w:val="007C0995"/>
    <w:rsid w:val="007D0E6B"/>
    <w:rsid w:val="007E66BD"/>
    <w:rsid w:val="007E7A4C"/>
    <w:rsid w:val="007F3361"/>
    <w:rsid w:val="00806AD2"/>
    <w:rsid w:val="00816C7F"/>
    <w:rsid w:val="00825249"/>
    <w:rsid w:val="00826BB4"/>
    <w:rsid w:val="0083028A"/>
    <w:rsid w:val="00840545"/>
    <w:rsid w:val="008409FB"/>
    <w:rsid w:val="00845A7A"/>
    <w:rsid w:val="00853D1B"/>
    <w:rsid w:val="00862215"/>
    <w:rsid w:val="0086587A"/>
    <w:rsid w:val="00871976"/>
    <w:rsid w:val="00890F97"/>
    <w:rsid w:val="00891FC5"/>
    <w:rsid w:val="008923CE"/>
    <w:rsid w:val="0089245F"/>
    <w:rsid w:val="008959D3"/>
    <w:rsid w:val="008959F1"/>
    <w:rsid w:val="008A5729"/>
    <w:rsid w:val="008C1CBA"/>
    <w:rsid w:val="008C1DE8"/>
    <w:rsid w:val="008C23EF"/>
    <w:rsid w:val="008D47BE"/>
    <w:rsid w:val="008E0F1F"/>
    <w:rsid w:val="008E16A1"/>
    <w:rsid w:val="008E21B2"/>
    <w:rsid w:val="008F0CDB"/>
    <w:rsid w:val="008F5878"/>
    <w:rsid w:val="008F591E"/>
    <w:rsid w:val="009050E4"/>
    <w:rsid w:val="00920755"/>
    <w:rsid w:val="00923154"/>
    <w:rsid w:val="00927BB2"/>
    <w:rsid w:val="009320AD"/>
    <w:rsid w:val="00932D11"/>
    <w:rsid w:val="00941BFD"/>
    <w:rsid w:val="00953B04"/>
    <w:rsid w:val="009639FF"/>
    <w:rsid w:val="00983117"/>
    <w:rsid w:val="009846D7"/>
    <w:rsid w:val="0098524D"/>
    <w:rsid w:val="0099113D"/>
    <w:rsid w:val="00994195"/>
    <w:rsid w:val="009A13E0"/>
    <w:rsid w:val="009A63F3"/>
    <w:rsid w:val="009B27BB"/>
    <w:rsid w:val="009B324F"/>
    <w:rsid w:val="009B353E"/>
    <w:rsid w:val="009C7A52"/>
    <w:rsid w:val="009D0087"/>
    <w:rsid w:val="009D0AAD"/>
    <w:rsid w:val="009D0C50"/>
    <w:rsid w:val="009D2AE0"/>
    <w:rsid w:val="009D651B"/>
    <w:rsid w:val="009D6CAF"/>
    <w:rsid w:val="009E08D6"/>
    <w:rsid w:val="009E2242"/>
    <w:rsid w:val="009F53A2"/>
    <w:rsid w:val="00A05D2A"/>
    <w:rsid w:val="00A159A9"/>
    <w:rsid w:val="00A17066"/>
    <w:rsid w:val="00A4041C"/>
    <w:rsid w:val="00A4382F"/>
    <w:rsid w:val="00A445DB"/>
    <w:rsid w:val="00A5027C"/>
    <w:rsid w:val="00A50870"/>
    <w:rsid w:val="00A52A24"/>
    <w:rsid w:val="00A60A06"/>
    <w:rsid w:val="00A64130"/>
    <w:rsid w:val="00A83417"/>
    <w:rsid w:val="00A86D4F"/>
    <w:rsid w:val="00A87108"/>
    <w:rsid w:val="00A96BB0"/>
    <w:rsid w:val="00AA6200"/>
    <w:rsid w:val="00AC180C"/>
    <w:rsid w:val="00AC34AA"/>
    <w:rsid w:val="00AC4E17"/>
    <w:rsid w:val="00AD0C57"/>
    <w:rsid w:val="00AD17F9"/>
    <w:rsid w:val="00AD37E9"/>
    <w:rsid w:val="00AD3A85"/>
    <w:rsid w:val="00AD4727"/>
    <w:rsid w:val="00AE0193"/>
    <w:rsid w:val="00B0133A"/>
    <w:rsid w:val="00B05404"/>
    <w:rsid w:val="00B264E0"/>
    <w:rsid w:val="00B304BA"/>
    <w:rsid w:val="00B32998"/>
    <w:rsid w:val="00B55DE8"/>
    <w:rsid w:val="00B737F4"/>
    <w:rsid w:val="00B76D73"/>
    <w:rsid w:val="00B83ECB"/>
    <w:rsid w:val="00B85D45"/>
    <w:rsid w:val="00B9113D"/>
    <w:rsid w:val="00B95AE8"/>
    <w:rsid w:val="00B95AF7"/>
    <w:rsid w:val="00BA0236"/>
    <w:rsid w:val="00BA4D4F"/>
    <w:rsid w:val="00BB08BA"/>
    <w:rsid w:val="00BC129C"/>
    <w:rsid w:val="00BC1D13"/>
    <w:rsid w:val="00BC7585"/>
    <w:rsid w:val="00BD2105"/>
    <w:rsid w:val="00BF57E7"/>
    <w:rsid w:val="00BF5AA9"/>
    <w:rsid w:val="00C06A74"/>
    <w:rsid w:val="00C10E0A"/>
    <w:rsid w:val="00C130B0"/>
    <w:rsid w:val="00C154A7"/>
    <w:rsid w:val="00C26BA8"/>
    <w:rsid w:val="00C33E13"/>
    <w:rsid w:val="00C45165"/>
    <w:rsid w:val="00C457CF"/>
    <w:rsid w:val="00C51AE3"/>
    <w:rsid w:val="00C66BD7"/>
    <w:rsid w:val="00C76068"/>
    <w:rsid w:val="00C918BB"/>
    <w:rsid w:val="00C93B3B"/>
    <w:rsid w:val="00C93F75"/>
    <w:rsid w:val="00C95000"/>
    <w:rsid w:val="00C95BC0"/>
    <w:rsid w:val="00CA5C27"/>
    <w:rsid w:val="00CA70EB"/>
    <w:rsid w:val="00CB0338"/>
    <w:rsid w:val="00CB64A9"/>
    <w:rsid w:val="00CC0D35"/>
    <w:rsid w:val="00CC326D"/>
    <w:rsid w:val="00CC4A6D"/>
    <w:rsid w:val="00CC5131"/>
    <w:rsid w:val="00CD366F"/>
    <w:rsid w:val="00CE0CDB"/>
    <w:rsid w:val="00CE16A9"/>
    <w:rsid w:val="00CE1842"/>
    <w:rsid w:val="00CE2449"/>
    <w:rsid w:val="00CE25B0"/>
    <w:rsid w:val="00CE7BD6"/>
    <w:rsid w:val="00CF4C6C"/>
    <w:rsid w:val="00CF61C4"/>
    <w:rsid w:val="00D265C6"/>
    <w:rsid w:val="00D47637"/>
    <w:rsid w:val="00D47C86"/>
    <w:rsid w:val="00D51A63"/>
    <w:rsid w:val="00D6660B"/>
    <w:rsid w:val="00D84424"/>
    <w:rsid w:val="00D84AC1"/>
    <w:rsid w:val="00DA1C86"/>
    <w:rsid w:val="00DA3D01"/>
    <w:rsid w:val="00DA6983"/>
    <w:rsid w:val="00DA72C1"/>
    <w:rsid w:val="00DB3067"/>
    <w:rsid w:val="00DB7BE4"/>
    <w:rsid w:val="00DC74D2"/>
    <w:rsid w:val="00DD7D5D"/>
    <w:rsid w:val="00DF25A1"/>
    <w:rsid w:val="00DF30E6"/>
    <w:rsid w:val="00DF3B1A"/>
    <w:rsid w:val="00DF68DE"/>
    <w:rsid w:val="00E05FE6"/>
    <w:rsid w:val="00E06276"/>
    <w:rsid w:val="00E06A4D"/>
    <w:rsid w:val="00E10472"/>
    <w:rsid w:val="00E155F4"/>
    <w:rsid w:val="00E17030"/>
    <w:rsid w:val="00E261B0"/>
    <w:rsid w:val="00E3362C"/>
    <w:rsid w:val="00E364BA"/>
    <w:rsid w:val="00E4074E"/>
    <w:rsid w:val="00E4206B"/>
    <w:rsid w:val="00E51E43"/>
    <w:rsid w:val="00E54C83"/>
    <w:rsid w:val="00E54C8B"/>
    <w:rsid w:val="00E55ABF"/>
    <w:rsid w:val="00E61294"/>
    <w:rsid w:val="00E64E2A"/>
    <w:rsid w:val="00E81440"/>
    <w:rsid w:val="00E81B73"/>
    <w:rsid w:val="00E838EA"/>
    <w:rsid w:val="00E85BEA"/>
    <w:rsid w:val="00E90BF7"/>
    <w:rsid w:val="00E942F5"/>
    <w:rsid w:val="00EA054F"/>
    <w:rsid w:val="00EA14E8"/>
    <w:rsid w:val="00EA638B"/>
    <w:rsid w:val="00EB6F42"/>
    <w:rsid w:val="00EC5136"/>
    <w:rsid w:val="00ED5197"/>
    <w:rsid w:val="00EE1242"/>
    <w:rsid w:val="00EF7A48"/>
    <w:rsid w:val="00F009FE"/>
    <w:rsid w:val="00F072AE"/>
    <w:rsid w:val="00F10C93"/>
    <w:rsid w:val="00F132E0"/>
    <w:rsid w:val="00F15231"/>
    <w:rsid w:val="00F16754"/>
    <w:rsid w:val="00F30A8C"/>
    <w:rsid w:val="00F35424"/>
    <w:rsid w:val="00F76E97"/>
    <w:rsid w:val="00F940A2"/>
    <w:rsid w:val="00FA74AD"/>
    <w:rsid w:val="00FB1288"/>
    <w:rsid w:val="00FC26FE"/>
    <w:rsid w:val="00FC3F24"/>
    <w:rsid w:val="00FD6AD5"/>
    <w:rsid w:val="00FD6BEC"/>
    <w:rsid w:val="00FD761E"/>
    <w:rsid w:val="00FE0A9F"/>
    <w:rsid w:val="00FE4571"/>
    <w:rsid w:val="00FE5E3B"/>
    <w:rsid w:val="00FE7242"/>
    <w:rsid w:val="11C73FD2"/>
    <w:rsid w:val="1B503A5C"/>
    <w:rsid w:val="35814965"/>
    <w:rsid w:val="3BA87CE4"/>
    <w:rsid w:val="4DBB5A0A"/>
    <w:rsid w:val="50006E16"/>
    <w:rsid w:val="53F41B45"/>
    <w:rsid w:val="78CD2873"/>
    <w:rsid w:val="79F77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14840"/>
  <w15:docId w15:val="{8D597544-494E-4809-BEFD-58A5A6F5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qFormat/>
    <w:pPr>
      <w:ind w:firstLine="480"/>
    </w:pPr>
    <w:rPr>
      <w:rFonts w:ascii="Times New Roman" w:eastAsia="宋体" w:hAnsi="Times New Roman" w:cs="Times New Roman"/>
      <w:szCs w:val="20"/>
    </w:rPr>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M1">
    <w:name w:val="CM1"/>
    <w:basedOn w:val="Default"/>
    <w:next w:val="Default"/>
    <w:uiPriority w:val="99"/>
    <w:qFormat/>
    <w:pPr>
      <w:spacing w:line="480" w:lineRule="atLeast"/>
    </w:pPr>
    <w:rPr>
      <w:rFonts w:cs="Times New Roman"/>
      <w:color w:val="auto"/>
    </w:rPr>
  </w:style>
  <w:style w:type="character" w:customStyle="1" w:styleId="20">
    <w:name w:val="正文文本缩进 2 字符"/>
    <w:basedOn w:val="a0"/>
    <w:link w:val="2"/>
    <w:qFormat/>
    <w:rPr>
      <w:rFonts w:ascii="Times New Roman" w:eastAsia="宋体" w:hAnsi="Times New Roman" w:cs="Times New Roman"/>
      <w:szCs w:val="20"/>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181</Words>
  <Characters>1032</Characters>
  <Application>Microsoft Office Word</Application>
  <DocSecurity>0</DocSecurity>
  <Lines>8</Lines>
  <Paragraphs>2</Paragraphs>
  <ScaleCrop>false</ScaleCrop>
  <Company>上海市虹口教育局</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附件4.推免研究生综合成绩评分细则-环地</dc:title>
  <dc:creator>chen</dc:creator>
  <cp:lastModifiedBy>fu chen</cp:lastModifiedBy>
  <cp:revision>334</cp:revision>
  <cp:lastPrinted>2023-09-19T14:36:00Z</cp:lastPrinted>
  <dcterms:created xsi:type="dcterms:W3CDTF">2020-09-26T14:08:00Z</dcterms:created>
  <dcterms:modified xsi:type="dcterms:W3CDTF">2026-09-01T06:02:00Z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eyJoZGlkIjoiOWI4MWJiMDliZmIyNWQ2OTZmNjgzOWI0NjYwOTZiZmYiLCJ1c2VySWQiOiIxNjM1ODk5MzUxIn0=</vt:lpwstr>
  </property>
  <property fmtid="{D5CDD505-2E9C-101B-9397-08002B2CF9AE}" pid="3" name="KSOProductBuildVer">
    <vt:lpwstr>2052-12.1.26046.26046</vt:lpwstr>
  </property>
  <property fmtid="{D5CDD505-2E9C-101B-9397-08002B2CF9AE}" pid="4" name="ICV">
    <vt:lpwstr>6D9EC60CA7994357A3EC30C8F67B4ECE_12</vt:lpwstr>
  </property>
</Properties>
</file>