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计算机科学与技术学院、软件学院推荐2027届优秀应届本科毕业生免试攻读研究生工作实施细则</w:t>
      </w:r>
    </w:p>
    <w:p>
      <w:r>
        <w:t>为推进我院推荐优秀应届本科毕业生免试攻读硕士学位研究生（以下简称“推免”）工作，根据教育部推免工作规定（教学厅〔2026〕1号）、《苏州大学推荐优秀应届本科毕业生免试攻读研究生实施办法》（苏大教〔2025〕50号）和《关于组织开展推荐2027届优秀应届本科毕业生免试攻读研究生工作的通知》（教字﹝ 2026 ﹞ 181号）等文件精神，结合我院实际情况，制定学院2027年“普通计划”类型的推免生实施细则。</w:t>
      </w:r>
    </w:p>
    <w:p>
      <w:r>
        <w:t>一、组织机构</w:t>
      </w:r>
    </w:p>
    <w:p>
      <w:r>
        <w:t>（一）推免工作小组</w:t>
      </w:r>
    </w:p>
    <w:p>
      <w:r>
        <w:t>学院成立推免工作小组，负责制定本单位推免工作细则，并组织与实施具体工作，含解读推免政策、成立材料审核专家组、开展综合评价与遴选、调查处理异议反馈等。推免相关重要事项须学院推免工作小组集体决策，并由党政联席会议进行审定。</w:t>
      </w:r>
    </w:p>
    <w:p>
      <w:r>
        <w:t>（二）材料审核专家组</w:t>
      </w:r>
    </w:p>
    <w:p>
      <w:r>
        <w:t>学院成立材料审核专家组，负责对申请推免学生的科研成果、竞赛获奖等的真实性、原创性进行审核鉴定，对于联合参赛、与指导教师联合发表论文等情况，学生必须出具指导教师本人撰写并署名的推荐信，客观陈述学生在联合成果中的实际贡献。申报科研成果、竞赛获奖等加分项目的学生必须参加学院统一组织的公开答辩，以判定其在科研成果、竞赛获奖等加分项中的实际贡献，答辩全程录音录像。专家组根据答辩结果对加分项进行认定，并签署材料审核意见，交由学院教务办公室集中保管，任何人不得改动。</w:t>
      </w:r>
    </w:p>
    <w:p>
      <w:r>
        <w:t>二、申请对象及条件</w:t>
      </w:r>
    </w:p>
    <w:p>
      <w:r>
        <w:t>（一）申请对象</w:t>
      </w:r>
    </w:p>
    <w:p>
      <w:r>
        <w:t>申请对象包含以下两类学生：</w:t>
      </w:r>
    </w:p>
    <w:p>
      <w:r>
        <w:t>（1）我院2023级应届本科生且预计2027年6月正常毕业获得学士学位的学生。</w:t>
      </w:r>
    </w:p>
    <w:p>
      <w:r>
        <w:t>（2）我院因休学延长学年且将于2027年6月首次进入毕业环节，且预计2027年6月能正常毕业并获得学士学位的学生。</w:t>
      </w:r>
    </w:p>
    <w:p>
      <w:r>
        <w:t>特别提醒：对于第2类学生应由本人于9月8日上午10:00前，向学院教务办公室提出拟参加此次推免的申请，经学院查实学籍异动记录等信息，确认符合条件后，由学院在9月8日下午14:00前将相应名单报至教务处学籍管理科（邮件发送至wbo@suda.edu.cn）。教务处完成信息复核后，再由学生本人于推免申请时间截止（9月9日下午17:00）前登录申请系统完成自主申请。</w:t>
      </w:r>
    </w:p>
    <w:p>
      <w:r>
        <w:t>（二）申请条件</w:t>
      </w:r>
    </w:p>
    <w:p>
      <w:r>
        <w:t>学院对推免申请学生进行综合评价，以德优先，按综合评价成绩择优遴选。具有遴选资格的学生须符合以下基本条件：</w:t>
      </w:r>
    </w:p>
    <w:p>
      <w:r>
        <w:t>（1）拥护党的领导，坚定社会主义信仰，具有高尚的爱国主义情操和集体主义精神，社会责任感强，遵纪守法，积极向上，身心健康；品行表现优良，无任何违法违纪受处分记录。</w:t>
      </w:r>
    </w:p>
    <w:p>
      <w:r>
        <w:t>（2）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r>
        <w:t>（3）具有学术研究的兴趣和潜力，具有良好的科学素养和探究精神，诚实守信、学风端正，无任何剽窃他人学术成果等学术不端记录。</w:t>
      </w:r>
    </w:p>
    <w:p>
      <w:r>
        <w:t>（4）参加各级各类项目、竞赛等活动，不存在不结题或无理由退出情况，包括国家级、省级、校级、院级各类创新创业计划项目；创新创业中心支持的各类竞赛活动以及学院要求的CCF CSP能力测试；其中无理由退出指未征得学院同意私自退出。</w:t>
      </w:r>
    </w:p>
    <w:p>
      <w:r>
        <w:t>特别提醒：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三、工作流程</w:t>
      </w:r>
    </w:p>
    <w:p>
      <w:r>
        <w:t>推荐工作总的流程如下：</w:t>
      </w:r>
    </w:p>
    <w:p>
      <w:r>
        <w:t>学院动员→学生系统申请→学生申请材料报送→学院推免实施细则发布→学院初选、综合评价、遴选和公示→学校审核→校长办公室审定→学校公示→获得推免资格的学生在教育部“推免服务系统”填写基本信息并缴费→学生确认复试通知并参与招生单位复试→学生查询复试结果并确认录取通知等环节。</w:t>
      </w:r>
    </w:p>
    <w:p>
      <w:r>
        <w:t>（1）学院动员</w:t>
      </w:r>
    </w:p>
    <w:p>
      <w:r>
        <w:t>学院在应届本科毕业生中进行动员，宣传上级主管部门及学校各项推免政策、条件及推免工作程序。</w:t>
      </w:r>
    </w:p>
    <w:p>
      <w:r>
        <w:t>（2）学生申请</w:t>
      </w:r>
    </w:p>
    <w:p>
      <w:r>
        <w:t>符合推免申请条件的2027届预毕业本科生，于9月7日（周一）上午10:00至9月9日（周三）下午17:00，自愿登录“苏州大学本科生推免申请系统”（网址：http://tmsq.jwb.suda.edu.cn/，外网需先登学校VPN），提交“推免申请”。</w:t>
      </w:r>
    </w:p>
    <w:p>
      <w:r>
        <w:t>①申请人务必认真阅读页面内的告知事项，申请提交后，不可再修改或撤销。“申请查询”栏目中最终状态显示为“申请成功”即为完成推免报名。学生只需要在系统中完成申请报名，相关证明材料按要求线下提交至学院。</w:t>
      </w:r>
    </w:p>
    <w:p>
      <w:r>
        <w:t>②此次申请的学生应在推免申请系统中选择“普通计划”类型；申请参加“研究生支教团”计划的学生按校团委相关工作通知执行。</w:t>
      </w:r>
    </w:p>
    <w:p>
      <w:r>
        <w:t>③ 9月12日起，学生可在推免申请系统中查询本人申请资格审核结果。</w:t>
      </w:r>
    </w:p>
    <w:p>
      <w:r>
        <w:t>④若有亲属（直系亲属和非直系亲属）或利益相关人员（如收费辅导教学等）参与学校、学院推免相关工作，应于申请时间9月9日截止前，主动以书面形式向学院递交报备书，说明相关情况。学院在9月9日将填写《推免工作汇报及报备统计表》，报送纸质盖章文本至教务处学籍管理科。</w:t>
      </w:r>
    </w:p>
    <w:p>
      <w:r>
        <w:t>（3）申请纸质材料报送</w:t>
      </w:r>
    </w:p>
    <w:p>
      <w:r>
        <w:t>申请学生须项学院递交发展素质相关证明材料及推免申请承诺书。在学校申请系统提交成功的学生，必须于9月9日17:00前提交材料。素质纸质材料按照顺序整理好，提交至推免工作小组成员（年级辅导员）办公室。报送纸质材料顺序：</w:t>
      </w:r>
    </w:p>
    <w:p>
      <w:r>
        <w:t>①诚信申请书：手写签名后的《苏州大学本科毕业生推荐免试攻读研究生申请承诺书》（附件1）原件；</w:t>
      </w:r>
    </w:p>
    <w:p>
      <w:r>
        <w:t>②学生成绩单：自行在教务处在线预约系统下载打印，教务处将于9月10日晚本学期缓考成绩录入完成后，统一刷新推免申请系统中的成绩及排名等信息，即为用于此次推免工作综合评价及遴选的学生成绩，学生提交推免申请时网页界面显示的GPA及排名仅供参考；</w:t>
      </w:r>
    </w:p>
    <w:p>
      <w:r>
        <w:t>③发展素质证明材料：本人发展素质相关的纸质证明材料复印件，包括参军入伍服兵役、参加有组织的志愿服务、参加有组织的国际组织实习、科研成果、竞赛获奖、指导教师推荐信等。</w:t>
      </w:r>
    </w:p>
    <w:p>
      <w:r>
        <w:t>（4）推免实施细则公布</w:t>
      </w:r>
    </w:p>
    <w:p>
      <w:r>
        <w:t>学院按照学校通知要求，制定学院2027年的推免工作实施细则，并在规定的9月4日（周五）17:00前报送实施细则至教务处审核，在9月7日（周一）前将审核后的“推免实施细则”公布在学院网站显著位置。</w:t>
      </w:r>
    </w:p>
    <w:p>
      <w:r>
        <w:t>（5）学院初选与综合评价</w:t>
      </w:r>
    </w:p>
    <w:p>
      <w:r>
        <w:t>学院推免工作小组对申请者进行资格初审和综合考核。</w:t>
      </w:r>
    </w:p>
    <w:p>
      <w:r>
        <w:t>①在9月11日（周五）下午16:00前完成申请学生学院层面的资格审核工作。</w:t>
      </w:r>
    </w:p>
    <w:p>
      <w:r>
        <w:t>② 9月11-12日，学院组织综合评价。根据申请者的综合考核成绩（具体考核方式见综合考核方案），分专业从高到低排序，按推荐名额1:1确定初步推荐名单，并根据学院候补名额1-2名，以综合考核成绩为第一排序原则顺序递补，构成预推免资格名单。如果出现某专业学生综合考核成绩并列，则参看综合考核成绩第四位小数，以此类推。对于学院候补学生排序，如果候补出现综合考核成绩并列，则采取专业推荐名额同分排序原则。</w:t>
      </w:r>
    </w:p>
    <w:p>
      <w:r>
        <w:t>③ 9月13日（周日）中午12:00前，将经推免工作小组集体决定、学院党政联席会议审议通过的推免生初选名单和候补名单中的综合评价成绩等信息录入“推免申请系统”并上报教务处。</w:t>
      </w:r>
    </w:p>
    <w:p>
      <w:r>
        <w:t>④ 9月13日初选名单上报同时，学院按照学校公示内容要求，在学院网站显著位置公示7日（9月13日至9月19日）。</w:t>
      </w:r>
    </w:p>
    <w:p>
      <w:r>
        <w:t>（6）纸质材料等报送</w:t>
      </w:r>
    </w:p>
    <w:p>
      <w:r>
        <w:t>学院特殊申请学生名单、定稿后的推免实施细则、回避及报备统计表（《推免工作回避及报备统计表》见附件2，没有此类情况的，表中填“无”）、初选名单等纸质材料于9月17日（周四）前交教务处学籍管理科。</w:t>
      </w:r>
    </w:p>
    <w:p>
      <w:r>
        <w:t>（7）学校审定、公示和上报</w:t>
      </w:r>
    </w:p>
    <w:p>
      <w:r>
        <w:t>9月19日（周六）前，学校完成推免初选名单的审定，在校内通知中予以公示，并按要求在教育部推免管理服务系统内报送推免生信息。</w:t>
      </w:r>
    </w:p>
    <w:p>
      <w:r>
        <w:t>（8）获得推免资格学生后续注意事项</w:t>
      </w:r>
    </w:p>
    <w:p>
      <w:r>
        <w:t>①拟将苏州大学作为推免接收单位的学生，请自行关注学校研究生院发布的接收推免生的相关通知，并按要求登录苏州大学研究生院进行接收录取工作的“苏州大学研究生报考服务系统”（http://gsas.yjs.suda.edu.cn）进行相应操作；</w:t>
      </w:r>
    </w:p>
    <w:p>
      <w:r>
        <w:t>②所有获得推免资格学生，参照教育部“全国推荐免试攻读研究生信息公开管理服务系统”（https://yz.chsi.com.cn/tm，以下简称“教育部推免管理服务系统”）内的时间安排及操作任务，自行完成上网填写基本信息并缴费→学生确认复试通知并参与招生单位复试→学生查询复试结果并点击确认录取通知等环节。错过或者错误操作者，责任自负。</w:t>
      </w:r>
    </w:p>
    <w:p>
      <w:r>
        <w:t>四、名额分配</w:t>
      </w:r>
    </w:p>
    <w:p>
      <w:r>
        <w:t>按照学校所给指标进行计算机科学与技术和软件工程2个专业的初步预推免资格名额分配，具体名额分配如下表所示：</w:t>
      </w:r>
    </w:p>
    <w:tbl>
      <w:tblPr>
        <w:tblStyle w:val="TableGrid"/>
        <w:tblW w:type="auto" w:w="0"/>
        <w:tblLook w:firstColumn="1" w:firstRow="1" w:lastColumn="0" w:lastRow="0" w:noHBand="0" w:noVBand="1" w:val="04A0"/>
      </w:tblPr>
      <w:tblGrid>
        <w:gridCol w:w="2880"/>
        <w:gridCol w:w="2880"/>
        <w:gridCol w:w="2880"/>
      </w:tblGrid>
      <w:tr>
        <w:tc>
          <w:tcPr>
            <w:tcW w:type="dxa" w:w="2880"/>
          </w:tcPr>
          <w:p>
            <w:r>
              <w:t>专业</w:t>
            </w:r>
          </w:p>
        </w:tc>
        <w:tc>
          <w:tcPr>
            <w:tcW w:type="dxa" w:w="2880"/>
          </w:tcPr>
          <w:p>
            <w:r>
              <w:t>推荐名额</w:t>
            </w:r>
          </w:p>
        </w:tc>
        <w:tc>
          <w:tcPr>
            <w:tcW w:type="dxa" w:w="2880"/>
          </w:tcPr>
          <w:p>
            <w:r>
              <w:t>候补</w:t>
            </w:r>
          </w:p>
        </w:tc>
      </w:tr>
      <w:tr>
        <w:tc>
          <w:tcPr>
            <w:tcW w:type="dxa" w:w="2880"/>
          </w:tcPr>
          <w:p>
            <w:r>
              <w:t>计算机科学与技术</w:t>
            </w:r>
          </w:p>
        </w:tc>
        <w:tc>
          <w:tcPr>
            <w:tcW w:type="dxa" w:w="2880"/>
          </w:tcPr>
          <w:p>
            <w:r>
              <w:t>19</w:t>
            </w:r>
          </w:p>
        </w:tc>
        <w:tc>
          <w:tcPr>
            <w:tcW w:type="dxa" w:w="2880"/>
          </w:tcPr>
          <w:p>
            <w:r>
              <w:t>1-2</w:t>
            </w:r>
          </w:p>
        </w:tc>
      </w:tr>
      <w:tr>
        <w:tc>
          <w:tcPr>
            <w:tcW w:type="dxa" w:w="2880"/>
          </w:tcPr>
          <w:p>
            <w:r>
              <w:t>软件工程</w:t>
            </w:r>
          </w:p>
        </w:tc>
        <w:tc>
          <w:tcPr>
            <w:tcW w:type="dxa" w:w="2880"/>
          </w:tcPr>
          <w:p>
            <w:r>
              <w:t>29</w:t>
            </w:r>
          </w:p>
        </w:tc>
        <w:tc>
          <w:tcPr>
            <w:tcW w:type="dxa" w:w="2880"/>
          </w:tcPr>
          <w:p/>
        </w:tc>
      </w:tr>
    </w:tbl>
    <w:p>
      <w:r>
        <w:t>五、综合评价及遴选办法</w:t>
      </w:r>
    </w:p>
    <w:p>
      <w:r>
        <w:t>按照相关规定制定科学、全面、严谨的推免综合评价体系，以综合评价成绩作为推免遴选标准，并成立专家审核小组（具有相关学科副教授以上职称，一般不少于5人），负责审核、鉴定学生发展素质成绩的各项评价内容并打分，对申请推免资格学生的科研创新成果、论文、竞赛获奖奖项及内容进行审核鉴定，排除抄袭、造假、冒名及有名无实等情况。</w:t>
      </w:r>
    </w:p>
    <w:p>
      <w:r>
        <w:t>学生推免以学院综合评价方案进行，以综合评价成绩作为推免生遴选标准。综合评价成绩构成如下：</w:t>
      </w:r>
    </w:p>
    <w:p>
      <w:r>
        <w:t>综合评价成绩（满分500分）=学业成绩（GPA*100）+发展素质成绩（满分100分）。</w:t>
      </w:r>
    </w:p>
    <w:p>
      <w:r>
        <w:t>其中，学业成绩以学生成绩单上采用百分制计算的课程在教务系统中的首考成绩为准。对成绩单上所列课程，如果首考不及格，该门课程绩点为“ 0 ”，在学业成绩GPA的计算中，课程学分计入所修课程的总学分。</w:t>
      </w:r>
    </w:p>
    <w:p>
      <w:r>
        <w:t>发展素质成绩按以下五项计分：参军入伍服兵役（最高20分）、有组织的志愿服务（最高10分）、有组织的国际组织实习（最高10分）、科研成果（最高30分）、竞赛获奖（最高30分）。</w:t>
      </w:r>
    </w:p>
    <w:p>
      <w:r>
        <w:t>（1）凡有参军入伍服兵役，并完成义务兵役的，计分20分。</w:t>
      </w:r>
    </w:p>
    <w:p>
      <w:r>
        <w:t>（2）参加有组织志愿服务按志愿服务时长进行不同等级分数划定，满分10分。服务累计时长以学院奖学金评定志愿服务时间管理细则，以及官方提供的志愿服务时长为统计数据源，具体累计时长与分数划分标准如下：</w:t>
      </w:r>
    </w:p>
    <w:tbl>
      <w:tblPr>
        <w:tblStyle w:val="TableGrid"/>
        <w:tblW w:type="auto" w:w="0"/>
        <w:tblLook w:firstColumn="1" w:firstRow="1" w:lastColumn="0" w:lastRow="0" w:noHBand="0" w:noVBand="1" w:val="04A0"/>
      </w:tblPr>
      <w:tblGrid>
        <w:gridCol w:w="4320"/>
        <w:gridCol w:w="4320"/>
      </w:tblGrid>
      <w:tr>
        <w:tc>
          <w:tcPr>
            <w:tcW w:type="dxa" w:w="4320"/>
          </w:tcPr>
          <w:p>
            <w:r>
              <w:t>3学年志愿服务累计时长（小时）</w:t>
            </w:r>
          </w:p>
        </w:tc>
        <w:tc>
          <w:tcPr>
            <w:tcW w:type="dxa" w:w="4320"/>
          </w:tcPr>
          <w:p>
            <w:r>
              <w:t>分数</w:t>
            </w:r>
          </w:p>
        </w:tc>
      </w:tr>
      <w:tr>
        <w:tc>
          <w:tcPr>
            <w:tcW w:type="dxa" w:w="4320"/>
          </w:tcPr>
          <w:p>
            <w:r>
              <w:t>&gt;=200</w:t>
            </w:r>
          </w:p>
        </w:tc>
        <w:tc>
          <w:tcPr>
            <w:tcW w:type="dxa" w:w="4320"/>
          </w:tcPr>
          <w:p>
            <w:r>
              <w:t>10</w:t>
            </w:r>
          </w:p>
        </w:tc>
      </w:tr>
      <w:tr>
        <w:tc>
          <w:tcPr>
            <w:tcW w:type="dxa" w:w="4320"/>
          </w:tcPr>
          <w:p>
            <w:r>
              <w:t>170-199</w:t>
            </w:r>
          </w:p>
        </w:tc>
        <w:tc>
          <w:tcPr>
            <w:tcW w:type="dxa" w:w="4320"/>
          </w:tcPr>
          <w:p>
            <w:r>
              <w:t>9</w:t>
            </w:r>
          </w:p>
        </w:tc>
      </w:tr>
      <w:tr>
        <w:tc>
          <w:tcPr>
            <w:tcW w:type="dxa" w:w="4320"/>
          </w:tcPr>
          <w:p>
            <w:r>
              <w:t>140-169</w:t>
            </w:r>
          </w:p>
        </w:tc>
        <w:tc>
          <w:tcPr>
            <w:tcW w:type="dxa" w:w="4320"/>
          </w:tcPr>
          <w:p>
            <w:r>
              <w:t>8</w:t>
            </w:r>
          </w:p>
        </w:tc>
      </w:tr>
      <w:tr>
        <w:tc>
          <w:tcPr>
            <w:tcW w:type="dxa" w:w="4320"/>
          </w:tcPr>
          <w:p>
            <w:r>
              <w:t>110-139</w:t>
            </w:r>
          </w:p>
        </w:tc>
        <w:tc>
          <w:tcPr>
            <w:tcW w:type="dxa" w:w="4320"/>
          </w:tcPr>
          <w:p>
            <w:r>
              <w:t>7</w:t>
            </w:r>
          </w:p>
        </w:tc>
      </w:tr>
      <w:tr>
        <w:tc>
          <w:tcPr>
            <w:tcW w:type="dxa" w:w="4320"/>
          </w:tcPr>
          <w:p>
            <w:r>
              <w:t>80-109</w:t>
            </w:r>
          </w:p>
        </w:tc>
        <w:tc>
          <w:tcPr>
            <w:tcW w:type="dxa" w:w="4320"/>
          </w:tcPr>
          <w:p>
            <w:r>
              <w:t>6</w:t>
            </w:r>
          </w:p>
        </w:tc>
      </w:tr>
      <w:tr>
        <w:tc>
          <w:tcPr>
            <w:tcW w:type="dxa" w:w="4320"/>
          </w:tcPr>
          <w:p>
            <w:r>
              <w:t>60-79</w:t>
            </w:r>
          </w:p>
        </w:tc>
        <w:tc>
          <w:tcPr>
            <w:tcW w:type="dxa" w:w="4320"/>
          </w:tcPr>
          <w:p>
            <w:r>
              <w:t>5</w:t>
            </w:r>
          </w:p>
        </w:tc>
      </w:tr>
      <w:tr>
        <w:tc>
          <w:tcPr>
            <w:tcW w:type="dxa" w:w="4320"/>
          </w:tcPr>
          <w:p>
            <w:r>
              <w:t>40-59</w:t>
            </w:r>
          </w:p>
        </w:tc>
        <w:tc>
          <w:tcPr>
            <w:tcW w:type="dxa" w:w="4320"/>
          </w:tcPr>
          <w:p>
            <w:r>
              <w:t>4</w:t>
            </w:r>
          </w:p>
        </w:tc>
      </w:tr>
      <w:tr>
        <w:tc>
          <w:tcPr>
            <w:tcW w:type="dxa" w:w="4320"/>
          </w:tcPr>
          <w:p>
            <w:r>
              <w:t>20-39</w:t>
            </w:r>
          </w:p>
        </w:tc>
        <w:tc>
          <w:tcPr>
            <w:tcW w:type="dxa" w:w="4320"/>
          </w:tcPr>
          <w:p>
            <w:r>
              <w:t>3</w:t>
            </w:r>
          </w:p>
        </w:tc>
      </w:tr>
      <w:tr>
        <w:tc>
          <w:tcPr>
            <w:tcW w:type="dxa" w:w="4320"/>
          </w:tcPr>
          <w:p>
            <w:r>
              <w:t>10-19</w:t>
            </w:r>
          </w:p>
        </w:tc>
        <w:tc>
          <w:tcPr>
            <w:tcW w:type="dxa" w:w="4320"/>
          </w:tcPr>
          <w:p>
            <w:r>
              <w:t>2</w:t>
            </w:r>
          </w:p>
        </w:tc>
      </w:tr>
      <w:tr>
        <w:tc>
          <w:tcPr>
            <w:tcW w:type="dxa" w:w="4320"/>
          </w:tcPr>
          <w:p>
            <w:r>
              <w:t>1-9</w:t>
            </w:r>
          </w:p>
        </w:tc>
        <w:tc>
          <w:tcPr>
            <w:tcW w:type="dxa" w:w="4320"/>
          </w:tcPr>
          <w:p>
            <w:r>
              <w:t>1</w:t>
            </w:r>
          </w:p>
        </w:tc>
      </w:tr>
    </w:tbl>
    <w:p>
      <w:r>
        <w:t>（3）凡有参与有组织的国际组织实习的，计分10分。关于国际组织的认定，参阅人力资源和社会保障部国际组织人才服务信息网的“了解国际组织”栏目，网站链接：http://io.mohrss.gov.cn/col/1002/index.html。</w:t>
      </w:r>
    </w:p>
    <w:p>
      <w:r>
        <w:t>（4）科研成果满分30分。科研成果包括论文（10分）、项目（14分）、知识产权（6分）三类。具体分数细则如下：</w:t>
      </w:r>
    </w:p>
    <w:tbl>
      <w:tblPr>
        <w:tblStyle w:val="TableGrid"/>
        <w:tblW w:type="auto" w:w="0"/>
        <w:tblLook w:firstColumn="1" w:firstRow="1" w:lastColumn="0" w:lastRow="0" w:noHBand="0" w:noVBand="1" w:val="04A0"/>
      </w:tblPr>
      <w:tblGrid>
        <w:gridCol w:w="864"/>
        <w:gridCol w:w="864"/>
        <w:gridCol w:w="864"/>
        <w:gridCol w:w="864"/>
        <w:gridCol w:w="864"/>
        <w:gridCol w:w="864"/>
        <w:gridCol w:w="864"/>
        <w:gridCol w:w="864"/>
        <w:gridCol w:w="864"/>
        <w:gridCol w:w="864"/>
      </w:tblGrid>
      <w:tr>
        <w:tc>
          <w:tcPr>
            <w:tcW w:type="dxa" w:w="864"/>
          </w:tcPr>
          <w:p>
            <w:r>
              <w:t>论文（10分）</w:t>
            </w:r>
          </w:p>
        </w:tc>
        <w:tc>
          <w:tcPr>
            <w:tcW w:type="dxa" w:w="864"/>
          </w:tcPr>
          <w:p>
            <w:r>
              <w:t>项目（14分）</w:t>
            </w:r>
          </w:p>
        </w:tc>
        <w:tc>
          <w:tcPr>
            <w:tcW w:type="dxa" w:w="864"/>
          </w:tcPr>
          <w:p>
            <w:r>
              <w:t>知识产权（6分）</w:t>
            </w:r>
          </w:p>
        </w:tc>
        <w:tc>
          <w:tcPr>
            <w:tcW w:type="dxa" w:w="864"/>
          </w:tcP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等级</w:t>
            </w:r>
          </w:p>
        </w:tc>
        <w:tc>
          <w:tcPr>
            <w:tcW w:type="dxa" w:w="864"/>
          </w:tcPr>
          <w:p>
            <w:r>
              <w:t>分数</w:t>
            </w:r>
          </w:p>
        </w:tc>
        <w:tc>
          <w:tcPr>
            <w:tcW w:type="dxa" w:w="864"/>
          </w:tcPr>
          <w:p>
            <w:r>
              <w:t>等级</w:t>
            </w:r>
          </w:p>
        </w:tc>
        <w:tc>
          <w:tcPr>
            <w:tcW w:type="dxa" w:w="864"/>
          </w:tcPr>
          <w:p>
            <w:r>
              <w:t>立项分数</w:t>
            </w:r>
          </w:p>
        </w:tc>
        <w:tc>
          <w:tcPr>
            <w:tcW w:type="dxa" w:w="864"/>
          </w:tcPr>
          <w:p>
            <w:r>
              <w:t>中期分数</w:t>
            </w:r>
          </w:p>
        </w:tc>
        <w:tc>
          <w:tcPr>
            <w:tcW w:type="dxa" w:w="864"/>
          </w:tcPr>
          <w:p>
            <w:r>
              <w:t>结题分数</w:t>
            </w:r>
          </w:p>
        </w:tc>
        <w:tc>
          <w:tcPr>
            <w:tcW w:type="dxa" w:w="864"/>
          </w:tcPr>
          <w:p>
            <w:r>
              <w:t>类别</w:t>
            </w:r>
          </w:p>
        </w:tc>
        <w:tc>
          <w:tcPr>
            <w:tcW w:type="dxa" w:w="864"/>
          </w:tcPr>
          <w:p>
            <w:r>
              <w:t>分数</w:t>
            </w:r>
          </w:p>
        </w:tc>
        <w:tc>
          <w:tcPr>
            <w:tcW w:type="dxa" w:w="864"/>
          </w:tcPr>
          <w:p/>
        </w:tc>
        <w:tc>
          <w:tcPr>
            <w:tcW w:type="dxa" w:w="864"/>
          </w:tcPr>
          <w:p/>
        </w:tc>
      </w:tr>
      <w:tr>
        <w:tc>
          <w:tcPr>
            <w:tcW w:type="dxa" w:w="864"/>
          </w:tcPr>
          <w:p>
            <w:r>
              <w:t>合格</w:t>
            </w:r>
          </w:p>
        </w:tc>
        <w:tc>
          <w:tcPr>
            <w:tcW w:type="dxa" w:w="864"/>
          </w:tcPr>
          <w:p>
            <w:r>
              <w:t>优秀</w:t>
            </w:r>
          </w:p>
        </w:tc>
        <w:tc>
          <w:tcPr>
            <w:tcW w:type="dxa" w:w="864"/>
          </w:tcPr>
          <w:p>
            <w:r>
              <w:t>合格</w:t>
            </w:r>
          </w:p>
        </w:tc>
        <w:tc>
          <w:tcPr>
            <w:tcW w:type="dxa" w:w="864"/>
          </w:tcPr>
          <w:p>
            <w:r>
              <w:t>优秀</w:t>
            </w:r>
          </w:p>
        </w:tc>
        <w:tc>
          <w:tcPr>
            <w:tcW w:type="dxa" w:w="864"/>
          </w:tcPr>
          <w:p/>
        </w:tc>
        <w:tc>
          <w:tcPr>
            <w:tcW w:type="dxa" w:w="864"/>
          </w:tcPr>
          <w:p/>
        </w:tc>
        <w:tc>
          <w:tcPr>
            <w:tcW w:type="dxa" w:w="864"/>
          </w:tcPr>
          <w:p/>
        </w:tc>
        <w:tc>
          <w:tcPr>
            <w:tcW w:type="dxa" w:w="864"/>
          </w:tcPr>
          <w:p/>
        </w:tc>
        <w:tc>
          <w:tcPr>
            <w:tcW w:type="dxa" w:w="864"/>
          </w:tcPr>
          <w:p/>
        </w:tc>
        <w:tc>
          <w:tcPr>
            <w:tcW w:type="dxa" w:w="864"/>
          </w:tcPr>
          <w:p/>
        </w:tc>
      </w:tr>
      <w:tr>
        <w:tc>
          <w:tcPr>
            <w:tcW w:type="dxa" w:w="864"/>
          </w:tcPr>
          <w:p>
            <w:r>
              <w:t>SCI一区</w:t>
            </w:r>
          </w:p>
        </w:tc>
        <w:tc>
          <w:tcPr>
            <w:tcW w:type="dxa" w:w="864"/>
          </w:tcPr>
          <w:p>
            <w:r>
              <w:t>10</w:t>
            </w:r>
          </w:p>
        </w:tc>
        <w:tc>
          <w:tcPr>
            <w:tcW w:type="dxa" w:w="864"/>
          </w:tcPr>
          <w:p>
            <w:r>
              <w:t>国家级</w:t>
            </w:r>
          </w:p>
        </w:tc>
        <w:tc>
          <w:tcPr>
            <w:tcW w:type="dxa" w:w="864"/>
          </w:tcPr>
          <w:p>
            <w:r>
              <w:t>6</w:t>
            </w:r>
          </w:p>
        </w:tc>
        <w:tc>
          <w:tcPr>
            <w:tcW w:type="dxa" w:w="864"/>
          </w:tcPr>
          <w:p>
            <w:r>
              <w:t>8</w:t>
            </w:r>
          </w:p>
        </w:tc>
        <w:tc>
          <w:tcPr>
            <w:tcW w:type="dxa" w:w="864"/>
          </w:tcPr>
          <w:p>
            <w:r>
              <w:t>10</w:t>
            </w:r>
          </w:p>
        </w:tc>
        <w:tc>
          <w:tcPr>
            <w:tcW w:type="dxa" w:w="864"/>
          </w:tcPr>
          <w:p>
            <w:r>
              <w:t>12</w:t>
            </w:r>
          </w:p>
        </w:tc>
        <w:tc>
          <w:tcPr>
            <w:tcW w:type="dxa" w:w="864"/>
          </w:tcPr>
          <w:p>
            <w:r>
              <w:t>14</w:t>
            </w:r>
          </w:p>
        </w:tc>
        <w:tc>
          <w:tcPr>
            <w:tcW w:type="dxa" w:w="864"/>
          </w:tcPr>
          <w:p>
            <w:r>
              <w:t>国际发明专利</w:t>
            </w:r>
          </w:p>
        </w:tc>
        <w:tc>
          <w:tcPr>
            <w:tcW w:type="dxa" w:w="864"/>
          </w:tcPr>
          <w:p>
            <w:r>
              <w:t>6</w:t>
            </w:r>
          </w:p>
        </w:tc>
      </w:tr>
      <w:tr>
        <w:tc>
          <w:tcPr>
            <w:tcW w:type="dxa" w:w="864"/>
          </w:tcPr>
          <w:p>
            <w:r>
              <w:t>SCI二区</w:t>
            </w:r>
          </w:p>
        </w:tc>
        <w:tc>
          <w:tcPr>
            <w:tcW w:type="dxa" w:w="864"/>
          </w:tcPr>
          <w:p>
            <w:r>
              <w:t>9</w:t>
            </w:r>
          </w:p>
        </w:tc>
        <w:tc>
          <w:tcPr>
            <w:tcW w:type="dxa" w:w="864"/>
          </w:tcPr>
          <w:p>
            <w:r>
              <w:t>省部级</w:t>
            </w:r>
          </w:p>
        </w:tc>
        <w:tc>
          <w:tcPr>
            <w:tcW w:type="dxa" w:w="864"/>
          </w:tcPr>
          <w:p>
            <w:r>
              <w:t>4</w:t>
            </w:r>
          </w:p>
        </w:tc>
        <w:tc>
          <w:tcPr>
            <w:tcW w:type="dxa" w:w="864"/>
          </w:tcPr>
          <w:p>
            <w:r>
              <w:t>6</w:t>
            </w:r>
          </w:p>
        </w:tc>
        <w:tc>
          <w:tcPr>
            <w:tcW w:type="dxa" w:w="864"/>
          </w:tcPr>
          <w:p>
            <w:r>
              <w:t>8</w:t>
            </w:r>
          </w:p>
        </w:tc>
        <w:tc>
          <w:tcPr>
            <w:tcW w:type="dxa" w:w="864"/>
          </w:tcPr>
          <w:p>
            <w:r>
              <w:t>10</w:t>
            </w:r>
          </w:p>
        </w:tc>
        <w:tc>
          <w:tcPr>
            <w:tcW w:type="dxa" w:w="864"/>
          </w:tcPr>
          <w:p>
            <w:r>
              <w:t>12</w:t>
            </w:r>
          </w:p>
        </w:tc>
        <w:tc>
          <w:tcPr>
            <w:tcW w:type="dxa" w:w="864"/>
          </w:tcPr>
          <w:p>
            <w:r>
              <w:t>国内发明专利</w:t>
            </w:r>
          </w:p>
        </w:tc>
        <w:tc>
          <w:tcPr>
            <w:tcW w:type="dxa" w:w="864"/>
          </w:tcPr>
          <w:p>
            <w:r>
              <w:t>5</w:t>
            </w:r>
          </w:p>
        </w:tc>
      </w:tr>
      <w:tr>
        <w:tc>
          <w:tcPr>
            <w:tcW w:type="dxa" w:w="864"/>
          </w:tcPr>
          <w:p>
            <w:r>
              <w:t>SCI三区</w:t>
            </w:r>
          </w:p>
        </w:tc>
        <w:tc>
          <w:tcPr>
            <w:tcW w:type="dxa" w:w="864"/>
          </w:tcPr>
          <w:p>
            <w:r>
              <w:t>8</w:t>
            </w:r>
          </w:p>
        </w:tc>
        <w:tc>
          <w:tcPr>
            <w:tcW w:type="dxa" w:w="864"/>
          </w:tcPr>
          <w:p>
            <w:r>
              <w:t>校级</w:t>
            </w:r>
          </w:p>
        </w:tc>
        <w:tc>
          <w:tcPr>
            <w:tcW w:type="dxa" w:w="864"/>
          </w:tcPr>
          <w:p>
            <w:r>
              <w:t>2</w:t>
            </w:r>
          </w:p>
        </w:tc>
        <w:tc>
          <w:tcPr>
            <w:tcW w:type="dxa" w:w="864"/>
          </w:tcPr>
          <w:p>
            <w:r>
              <w:t>4</w:t>
            </w:r>
          </w:p>
        </w:tc>
        <w:tc>
          <w:tcPr>
            <w:tcW w:type="dxa" w:w="864"/>
          </w:tcPr>
          <w:p>
            <w:r>
              <w:t>6</w:t>
            </w:r>
          </w:p>
        </w:tc>
        <w:tc>
          <w:tcPr>
            <w:tcW w:type="dxa" w:w="864"/>
          </w:tcPr>
          <w:p>
            <w:r>
              <w:t>8</w:t>
            </w:r>
          </w:p>
        </w:tc>
        <w:tc>
          <w:tcPr>
            <w:tcW w:type="dxa" w:w="864"/>
          </w:tcPr>
          <w:p>
            <w:r>
              <w:t>10</w:t>
            </w:r>
          </w:p>
        </w:tc>
        <w:tc>
          <w:tcPr>
            <w:tcW w:type="dxa" w:w="864"/>
          </w:tcPr>
          <w:p>
            <w:r>
              <w:t>实用新型</w:t>
            </w:r>
          </w:p>
        </w:tc>
        <w:tc>
          <w:tcPr>
            <w:tcW w:type="dxa" w:w="864"/>
          </w:tcPr>
          <w:p>
            <w:r>
              <w:t>4</w:t>
            </w:r>
          </w:p>
        </w:tc>
      </w:tr>
      <w:tr>
        <w:tc>
          <w:tcPr>
            <w:tcW w:type="dxa" w:w="864"/>
          </w:tcPr>
          <w:p>
            <w:r>
              <w:t>SCI四区</w:t>
            </w:r>
          </w:p>
        </w:tc>
        <w:tc>
          <w:tcPr>
            <w:tcW w:type="dxa" w:w="864"/>
          </w:tcPr>
          <w:p>
            <w:r>
              <w:t>7</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软件著作权</w:t>
            </w:r>
          </w:p>
        </w:tc>
        <w:tc>
          <w:tcPr>
            <w:tcW w:type="dxa" w:w="864"/>
          </w:tcPr>
          <w:p>
            <w:r>
              <w:t>3</w:t>
            </w:r>
          </w:p>
        </w:tc>
      </w:tr>
      <w:tr>
        <w:tc>
          <w:tcPr>
            <w:tcW w:type="dxa" w:w="864"/>
          </w:tcPr>
          <w:p>
            <w:r>
              <w:t>北图核刊</w:t>
            </w:r>
          </w:p>
        </w:tc>
        <w:tc>
          <w:tcPr>
            <w:tcW w:type="dxa" w:w="864"/>
          </w:tcPr>
          <w:p>
            <w:r>
              <w:t>6</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r>
      <w:tr>
        <w:tc>
          <w:tcPr>
            <w:tcW w:type="dxa" w:w="864"/>
          </w:tcPr>
          <w:p>
            <w:r>
              <w:t>一般省级期刊</w:t>
            </w:r>
          </w:p>
        </w:tc>
        <w:tc>
          <w:tcPr>
            <w:tcW w:type="dxa" w:w="864"/>
          </w:tcPr>
          <w:p>
            <w:r>
              <w:t>4</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c>
          <w:tcPr>
            <w:tcW w:type="dxa" w:w="864"/>
          </w:tcPr>
          <w:p>
            <w:r>
              <w:t>/</w:t>
            </w:r>
          </w:p>
        </w:tc>
      </w:tr>
    </w:tbl>
    <w:p>
      <w:r>
        <w:t>①论文、项目和知识产权三个子类中，每一个子类仅计最高分一次，不累计计分。</w:t>
      </w:r>
    </w:p>
    <w:p>
      <w:r>
        <w:t>②所有论文署名必须为苏州大学计算机科学与技术学院为第一单位，独立或第一作者，并提供指导老师本人撰写并署名的推荐信，客观陈述学生在联合成果中的实际贡献，不计非排名第一的共同第一作者。</w:t>
      </w:r>
    </w:p>
    <w:p>
      <w:r>
        <w:t>③ CCF推荐A/B/C类会议论文（需为长文）分别视同SCI二、三、四区论文核定。</w:t>
      </w:r>
    </w:p>
    <w:p>
      <w:r>
        <w:t>④北图核刊中计算机学报、软件学报和中国科学期刊论文视为SCI三区计分；北图核刊中计算机研究与发展、电子学报、自动化学报期刊文章视为SCI四区计分；除上述6种期刊外的北图核刊均按照北图核刊计分。</w:t>
      </w:r>
    </w:p>
    <w:p>
      <w:r>
        <w:t>⑤期刊论文发表或网络见刊或录用通知、会议论文必须在会议论文集发表或网络见刊。对期刊论文录用通知，需要提供学院指导老师签字确认证明材料。对发表或网络见刊文章，如果是期刊文章，需提供刊物封面、目录、文章正文和封底；如果是会议论文，需要提供官方邀请函、会议议程、会议论文集封面、目录和文章正文；每篇文章以上述要素构成一份完整认定依据材料。</w:t>
      </w:r>
    </w:p>
    <w:p>
      <w:r>
        <w:t>⑥预警期刊论文不计入科研成果。预警期刊名单会动态调整。包括但不限于下列期刊论文，均不得纳入论文计分环节：</w:t>
      </w:r>
    </w:p>
    <w:p>
      <w:r>
        <w:t>Complexity（ISSN 1076-2787）（2021年）</w:t>
      </w:r>
    </w:p>
    <w:p>
      <w:r>
        <w:t>Scientific Programming（ISSN 1058-9244）（2021年）</w:t>
      </w:r>
    </w:p>
    <w:p>
      <w:r>
        <w:t>Microprocessors and Microsystems（ISSN 0141-9331）（2021年、2023年）</w:t>
      </w:r>
    </w:p>
    <w:p>
      <w:r>
        <w:t>International Journal of Control Automation and Systems（ISSN 1598-6446）（2023年）</w:t>
      </w:r>
    </w:p>
    <w:p>
      <w:r>
        <w:t>Mobile Information Systems（ISSN 1574-017X）（2023年）</w:t>
      </w:r>
    </w:p>
    <w:p>
      <w:r>
        <w:t>Machines（ISSN 2075-1702）（2023年）</w:t>
      </w:r>
    </w:p>
    <w:p>
      <w:r>
        <w:t>Computational and Mathematical Methods in Medicine（ISSN 1748-670X）（2023年）</w:t>
      </w:r>
    </w:p>
    <w:p>
      <w:r>
        <w:t>Mathematical Problems in Engineering（ISSN 1024-123X）（2023年）</w:t>
      </w:r>
    </w:p>
    <w:p>
      <w:r>
        <w:t>Journal of Industrial and Management Optimization（ISSN 1547-5816）（2023年）</w:t>
      </w:r>
    </w:p>
    <w:p>
      <w:r>
        <w:t>CMES-Computer Modeling in Engineering &amp; Sciences（ISSN 1526-1492）（2024年）</w:t>
      </w:r>
    </w:p>
    <w:p>
      <w:r>
        <w:t>Connection Science（ISSN 0954-0091）（2024年）</w:t>
      </w:r>
    </w:p>
    <w:p>
      <w:r>
        <w:t>Multimedia Tools and Applications（ISSN 1380-7501）（2024年）</w:t>
      </w:r>
    </w:p>
    <w:p>
      <w:r>
        <w:t>Bioengineered（ISSN 2165-5979）（2024年）</w:t>
      </w:r>
    </w:p>
    <w:p>
      <w:r>
        <w:t>Journal of Biomedical Materials and Bioenergy（ISSN 1556-6560）（2024年）</w:t>
      </w:r>
    </w:p>
    <w:p>
      <w:r>
        <w:t>Journal of Sensors（ISSN 1687-725X）（2024年）</w:t>
      </w:r>
    </w:p>
    <w:p>
      <w:r>
        <w:t>Mathematical Biosciences and Engineering（ISSN 1547-1063）（2024年）</w:t>
      </w:r>
    </w:p>
    <w:p>
      <w:r>
        <w:t>Wireless Personal Communications（ISSN 0929-6212）（2025年）</w:t>
      </w:r>
    </w:p>
    <w:p>
      <w:r>
        <w:t>Computers &amp; Electrical Engineering（ISSN 0045-7906）（2025年）</w:t>
      </w:r>
    </w:p>
    <w:p>
      <w:r>
        <w:t>Scalable Computing-Practice and Experience（ISSN 1895-1767）（2025年）</w:t>
      </w:r>
    </w:p>
    <w:p>
      <w:r>
        <w:t>Advances and Applications in Discrete Mathematics（ISSN 0974-1658）（2026年）</w:t>
      </w:r>
    </w:p>
    <w:p>
      <w:r>
        <w:t>Applied and Computational Mathematics（ISSN 1683-3511）（2026年）</w:t>
      </w:r>
    </w:p>
    <w:p>
      <w:r>
        <w:t>IEEE Transactions on Intelligent Vehicles（ISSN 2379-8858）（2026年）</w:t>
      </w:r>
    </w:p>
    <w:p>
      <w:r>
        <w:t>International Journal of Intelligent Engineering Informatics（ISSN 1758-8715）（2026年）</w:t>
      </w:r>
    </w:p>
    <w:p>
      <w:r>
        <w:t>Journal of Intelligent &amp; Fuzzy Systems（ISSN 1064-1246）（2026年）</w:t>
      </w:r>
    </w:p>
    <w:p>
      <w:r>
        <w:t>Soft Computing（ISSN 1432-7643）（2026年）</w:t>
      </w:r>
    </w:p>
    <w:p>
      <w:r>
        <w:t>⑦莙政学者项目视作省部级项目计分。</w:t>
      </w:r>
    </w:p>
    <w:p>
      <w:r>
        <w:t>⑧所有各个等级项目按立项、中期检查合格、优秀和结题验收合格、优秀五个层面认定。各级各类项目均需提供相关证明材料（结题证书、或验收结果发文、或立项发文）以及申请项目时的团队成员组成表。</w:t>
      </w:r>
    </w:p>
    <w:p>
      <w:r>
        <w:t>⑨团队项目计分原则如下：国家级项目仅限前4人；省部级项目仅限前3人；校级项目项仅限前2人。按照主持人100%、第一位成员80%、第二位成员70%、第三位成员60%、第四位成员50%的方式以对应级别满分进行折算计入。延期结题项目不计分。</w:t>
      </w:r>
    </w:p>
    <w:p>
      <w:r>
        <w:t>⑩所负责或参与项目中期检查或结题验收不合格，该项目不进入计分环节。</w:t>
      </w:r>
    </w:p>
    <w:p>
      <w:r>
        <w:t>⑪知识产权须与本专业相关且受益单位是苏州大学，并提供知识产权证书复印件。其中专利必须授权，认定方式：发明人中学生排第一或指导老师排第一学生排第二；一个软件著作权只能被一个学生认定；均需提供指导教师本人签名的书面证明材料。</w:t>
      </w:r>
    </w:p>
    <w:p>
      <w:r>
        <w:t>（5）竞赛获奖满分30分。竞赛获奖包括学科竞赛和CCF CSP认证两大类。学科竞赛包括国家级、省部级和校级三类，计分原则：在不同级别竞赛中，只取获奖最高得分计分一次，不进行多项累计计分。CSP认证按照分档进行分数认定。竞赛获奖最终分数在国家级、省部级、校级和CSP认证中，取最高分计入一次。具体细则如下：</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国家级</w:t>
            </w:r>
          </w:p>
        </w:tc>
        <w:tc>
          <w:tcPr>
            <w:tcW w:type="dxa" w:w="1080"/>
          </w:tcPr>
          <w:p>
            <w:r>
              <w:t>省部级</w:t>
            </w:r>
          </w:p>
        </w:tc>
        <w:tc>
          <w:tcPr>
            <w:tcW w:type="dxa" w:w="1080"/>
          </w:tcPr>
          <w:p>
            <w:r>
              <w:t>校级</w:t>
            </w:r>
          </w:p>
        </w:tc>
        <w:tc>
          <w:tcPr>
            <w:tcW w:type="dxa" w:w="1080"/>
          </w:tcPr>
          <w:p>
            <w:r>
              <w:t>CSP认证</w:t>
            </w:r>
          </w:p>
        </w:tc>
        <w:tc>
          <w:tcPr>
            <w:tcW w:type="dxa" w:w="1080"/>
          </w:tcPr>
          <w:p/>
        </w:tc>
        <w:tc>
          <w:tcPr>
            <w:tcW w:type="dxa" w:w="1080"/>
          </w:tcPr>
          <w:p/>
        </w:tc>
        <w:tc>
          <w:tcPr>
            <w:tcW w:type="dxa" w:w="1080"/>
          </w:tcPr>
          <w:p/>
        </w:tc>
        <w:tc>
          <w:tcPr>
            <w:tcW w:type="dxa" w:w="1080"/>
          </w:tcPr>
          <w:p/>
        </w:tc>
      </w:tr>
      <w:tr>
        <w:tc>
          <w:tcPr>
            <w:tcW w:type="dxa" w:w="1080"/>
          </w:tcPr>
          <w:p>
            <w:r>
              <w:t>等级</w:t>
            </w:r>
          </w:p>
        </w:tc>
        <w:tc>
          <w:tcPr>
            <w:tcW w:type="dxa" w:w="1080"/>
          </w:tcPr>
          <w:p>
            <w:r>
              <w:t>分数</w:t>
            </w:r>
          </w:p>
        </w:tc>
        <w:tc>
          <w:tcPr>
            <w:tcW w:type="dxa" w:w="1080"/>
          </w:tcPr>
          <w:p>
            <w:r>
              <w:t>等级</w:t>
            </w:r>
          </w:p>
        </w:tc>
        <w:tc>
          <w:tcPr>
            <w:tcW w:type="dxa" w:w="1080"/>
          </w:tcPr>
          <w:p>
            <w:r>
              <w:t>分数</w:t>
            </w:r>
          </w:p>
        </w:tc>
        <w:tc>
          <w:tcPr>
            <w:tcW w:type="dxa" w:w="1080"/>
          </w:tcPr>
          <w:p>
            <w:r>
              <w:t>等级</w:t>
            </w:r>
          </w:p>
        </w:tc>
        <w:tc>
          <w:tcPr>
            <w:tcW w:type="dxa" w:w="1080"/>
          </w:tcPr>
          <w:p>
            <w:r>
              <w:t>分数</w:t>
            </w:r>
          </w:p>
        </w:tc>
        <w:tc>
          <w:tcPr>
            <w:tcW w:type="dxa" w:w="1080"/>
          </w:tcPr>
          <w:p>
            <w:r>
              <w:t>分档</w:t>
            </w:r>
          </w:p>
        </w:tc>
        <w:tc>
          <w:tcPr>
            <w:tcW w:type="dxa" w:w="1080"/>
          </w:tcPr>
          <w:p>
            <w:r>
              <w:t>分数</w:t>
            </w:r>
          </w:p>
        </w:tc>
      </w:tr>
      <w:tr>
        <w:tc>
          <w:tcPr>
            <w:tcW w:type="dxa" w:w="1080"/>
          </w:tcPr>
          <w:p>
            <w:r>
              <w:t>第一等级</w:t>
            </w:r>
          </w:p>
        </w:tc>
        <w:tc>
          <w:tcPr>
            <w:tcW w:type="dxa" w:w="1080"/>
          </w:tcPr>
          <w:p>
            <w:r>
              <w:t>30</w:t>
            </w:r>
          </w:p>
        </w:tc>
        <w:tc>
          <w:tcPr>
            <w:tcW w:type="dxa" w:w="1080"/>
          </w:tcPr>
          <w:p>
            <w:r>
              <w:t>第一等级</w:t>
            </w:r>
          </w:p>
        </w:tc>
        <w:tc>
          <w:tcPr>
            <w:tcW w:type="dxa" w:w="1080"/>
          </w:tcPr>
          <w:p>
            <w:r>
              <w:t>17</w:t>
            </w:r>
          </w:p>
        </w:tc>
        <w:tc>
          <w:tcPr>
            <w:tcW w:type="dxa" w:w="1080"/>
          </w:tcPr>
          <w:p>
            <w:r>
              <w:t>第一等级</w:t>
            </w:r>
          </w:p>
        </w:tc>
        <w:tc>
          <w:tcPr>
            <w:tcW w:type="dxa" w:w="1080"/>
          </w:tcPr>
          <w:p>
            <w:r>
              <w:t>10</w:t>
            </w:r>
          </w:p>
        </w:tc>
        <w:tc>
          <w:tcPr>
            <w:tcW w:type="dxa" w:w="1080"/>
          </w:tcPr>
          <w:p>
            <w:r>
              <w:t>&gt;=400</w:t>
            </w:r>
          </w:p>
        </w:tc>
        <w:tc>
          <w:tcPr>
            <w:tcW w:type="dxa" w:w="1080"/>
          </w:tcPr>
          <w:p>
            <w:r>
              <w:t>30</w:t>
            </w:r>
          </w:p>
        </w:tc>
      </w:tr>
      <w:tr>
        <w:tc>
          <w:tcPr>
            <w:tcW w:type="dxa" w:w="1080"/>
          </w:tcPr>
          <w:p>
            <w:r>
              <w:t>第二等级</w:t>
            </w:r>
          </w:p>
        </w:tc>
        <w:tc>
          <w:tcPr>
            <w:tcW w:type="dxa" w:w="1080"/>
          </w:tcPr>
          <w:p>
            <w:r>
              <w:t>25</w:t>
            </w:r>
          </w:p>
        </w:tc>
        <w:tc>
          <w:tcPr>
            <w:tcW w:type="dxa" w:w="1080"/>
          </w:tcPr>
          <w:p>
            <w:r>
              <w:t>第二等级</w:t>
            </w:r>
          </w:p>
        </w:tc>
        <w:tc>
          <w:tcPr>
            <w:tcW w:type="dxa" w:w="1080"/>
          </w:tcPr>
          <w:p>
            <w:r>
              <w:t>15</w:t>
            </w:r>
          </w:p>
        </w:tc>
        <w:tc>
          <w:tcPr>
            <w:tcW w:type="dxa" w:w="1080"/>
          </w:tcPr>
          <w:p>
            <w:r>
              <w:t>第二等级</w:t>
            </w:r>
          </w:p>
        </w:tc>
        <w:tc>
          <w:tcPr>
            <w:tcW w:type="dxa" w:w="1080"/>
          </w:tcPr>
          <w:p>
            <w:r>
              <w:t>9</w:t>
            </w:r>
          </w:p>
        </w:tc>
        <w:tc>
          <w:tcPr>
            <w:tcW w:type="dxa" w:w="1080"/>
          </w:tcPr>
          <w:p>
            <w:r>
              <w:t>&gt;=300</w:t>
            </w:r>
          </w:p>
        </w:tc>
        <w:tc>
          <w:tcPr>
            <w:tcW w:type="dxa" w:w="1080"/>
          </w:tcPr>
          <w:p>
            <w:r>
              <w:t>25</w:t>
            </w:r>
          </w:p>
        </w:tc>
      </w:tr>
      <w:tr>
        <w:tc>
          <w:tcPr>
            <w:tcW w:type="dxa" w:w="1080"/>
          </w:tcPr>
          <w:p>
            <w:r>
              <w:t>第三等级</w:t>
            </w:r>
          </w:p>
        </w:tc>
        <w:tc>
          <w:tcPr>
            <w:tcW w:type="dxa" w:w="1080"/>
          </w:tcPr>
          <w:p>
            <w:r>
              <w:t>22</w:t>
            </w:r>
          </w:p>
        </w:tc>
        <w:tc>
          <w:tcPr>
            <w:tcW w:type="dxa" w:w="1080"/>
          </w:tcPr>
          <w:p>
            <w:r>
              <w:t>第三等级</w:t>
            </w:r>
          </w:p>
        </w:tc>
        <w:tc>
          <w:tcPr>
            <w:tcW w:type="dxa" w:w="1080"/>
          </w:tcPr>
          <w:p>
            <w:r>
              <w:t>13</w:t>
            </w:r>
          </w:p>
        </w:tc>
        <w:tc>
          <w:tcPr>
            <w:tcW w:type="dxa" w:w="1080"/>
          </w:tcPr>
          <w:p>
            <w:r>
              <w:t>第三等级</w:t>
            </w:r>
          </w:p>
        </w:tc>
        <w:tc>
          <w:tcPr>
            <w:tcW w:type="dxa" w:w="1080"/>
          </w:tcPr>
          <w:p>
            <w:r>
              <w:t>8</w:t>
            </w:r>
          </w:p>
        </w:tc>
        <w:tc>
          <w:tcPr>
            <w:tcW w:type="dxa" w:w="1080"/>
          </w:tcPr>
          <w:p>
            <w:r>
              <w:t>&gt;=250</w:t>
            </w:r>
          </w:p>
        </w:tc>
        <w:tc>
          <w:tcPr>
            <w:tcW w:type="dxa" w:w="1080"/>
          </w:tcPr>
          <w:p>
            <w:r>
              <w:t>17</w:t>
            </w:r>
          </w:p>
        </w:tc>
      </w:tr>
      <w:tr>
        <w:tc>
          <w:tcPr>
            <w:tcW w:type="dxa" w:w="1080"/>
          </w:tcPr>
          <w:p>
            <w:r>
              <w:t>第四等级</w:t>
            </w:r>
          </w:p>
        </w:tc>
        <w:tc>
          <w:tcPr>
            <w:tcW w:type="dxa" w:w="1080"/>
          </w:tcPr>
          <w:p>
            <w:r>
              <w:t>19</w:t>
            </w:r>
          </w:p>
        </w:tc>
        <w:tc>
          <w:tcPr>
            <w:tcW w:type="dxa" w:w="1080"/>
          </w:tcPr>
          <w:p>
            <w:r>
              <w:t>第四等级</w:t>
            </w:r>
          </w:p>
        </w:tc>
        <w:tc>
          <w:tcPr>
            <w:tcW w:type="dxa" w:w="1080"/>
          </w:tcPr>
          <w:p>
            <w:r>
              <w:t>11</w:t>
            </w:r>
          </w:p>
        </w:tc>
        <w:tc>
          <w:tcPr>
            <w:tcW w:type="dxa" w:w="1080"/>
          </w:tcPr>
          <w:p>
            <w:r>
              <w:t>第四等级</w:t>
            </w:r>
          </w:p>
        </w:tc>
        <w:tc>
          <w:tcPr>
            <w:tcW w:type="dxa" w:w="1080"/>
          </w:tcPr>
          <w:p>
            <w:r>
              <w:t>7</w:t>
            </w:r>
          </w:p>
        </w:tc>
        <w:tc>
          <w:tcPr>
            <w:tcW w:type="dxa" w:w="1080"/>
          </w:tcPr>
          <w:p>
            <w:r>
              <w:t>&gt;=200</w:t>
            </w:r>
          </w:p>
        </w:tc>
        <w:tc>
          <w:tcPr>
            <w:tcW w:type="dxa" w:w="1080"/>
          </w:tcPr>
          <w:p>
            <w:r>
              <w:t>10</w:t>
            </w:r>
          </w:p>
        </w:tc>
      </w:tr>
      <w:tr>
        <w:tc>
          <w:tcPr>
            <w:tcW w:type="dxa" w:w="1080"/>
          </w:tcPr>
          <w:p>
            <w:r>
              <w:t>其他等级</w:t>
            </w:r>
          </w:p>
        </w:tc>
        <w:tc>
          <w:tcPr>
            <w:tcW w:type="dxa" w:w="1080"/>
          </w:tcPr>
          <w:p>
            <w:r>
              <w:t>13</w:t>
            </w:r>
          </w:p>
        </w:tc>
        <w:tc>
          <w:tcPr>
            <w:tcW w:type="dxa" w:w="1080"/>
          </w:tcPr>
          <w:p>
            <w:r>
              <w:t>其他等级</w:t>
            </w:r>
          </w:p>
        </w:tc>
        <w:tc>
          <w:tcPr>
            <w:tcW w:type="dxa" w:w="1080"/>
          </w:tcPr>
          <w:p>
            <w:r>
              <w:t>8</w:t>
            </w:r>
          </w:p>
        </w:tc>
        <w:tc>
          <w:tcPr>
            <w:tcW w:type="dxa" w:w="1080"/>
          </w:tcPr>
          <w:p>
            <w:r>
              <w:t>其他等级</w:t>
            </w:r>
          </w:p>
        </w:tc>
        <w:tc>
          <w:tcPr>
            <w:tcW w:type="dxa" w:w="1080"/>
          </w:tcPr>
          <w:p>
            <w:r>
              <w:t>6</w:t>
            </w:r>
          </w:p>
        </w:tc>
        <w:tc>
          <w:tcPr>
            <w:tcW w:type="dxa" w:w="1080"/>
          </w:tcPr>
          <w:p>
            <w:r>
              <w:t>&gt;=150</w:t>
            </w:r>
          </w:p>
        </w:tc>
        <w:tc>
          <w:tcPr>
            <w:tcW w:type="dxa" w:w="1080"/>
          </w:tcPr>
          <w:p>
            <w:r>
              <w:t>8</w:t>
            </w:r>
          </w:p>
        </w:tc>
      </w:tr>
    </w:tbl>
    <w:p>
      <w:r>
        <w:t>①所有学科竞赛，以获奖证书为准，对推免当年6-9月份的学科竞赛，如果没有获奖证书，可以用网站公示截图。认定的赛事以获奖当年（最新）中国高等教育学会公布的《全国普通高校大学生竞赛排行榜》为准。</w:t>
      </w:r>
    </w:p>
    <w:p>
      <w:r>
        <w:t>②团队获奖需提供团队成员名单，对竞赛团队成员有明确排序的，需给出排序顺序；有能证明团队成员贡献的个人奖状也需要一并提供，并提供指导教师本人撰写并署名的推荐信，客观陈述学生在团队中的实际贡献。所有证明材料需要是原始材料。</w:t>
      </w:r>
    </w:p>
    <w:p>
      <w:r>
        <w:t>③ “中国国际大学生创新大赛（原互联网+）”、“挑战杯”、“创青春”三大赛获奖团队名单排除校友、指导教师以及在校研究生后的在校本科生，国家级仅限前6名，省级和校级仅限前4名。计分原则：按对应竞赛等级满分核定。</w:t>
      </w:r>
    </w:p>
    <w:p>
      <w:r>
        <w:t>④对于美国大学生数学建模竞赛中的O奖和F奖按照国家级第一等级和第二等级认定，M奖和H奖按照省部级的第一等级和第二等级认定，S奖不包括在认定范围内。</w:t>
      </w:r>
    </w:p>
    <w:p>
      <w:r>
        <w:t>⑤ ACM-ICPC国家大学生程序设计大赛，区域赛按照省部级对应等级认定，ACM-ICPC东亚洲大陆决赛（简称EC-Final）按照国家级对应等级认定。</w:t>
      </w:r>
    </w:p>
    <w:p>
      <w:r>
        <w:t>⑥其他国家级团队赛仅限前4名，省部级团队赛仅限前3，校级竞赛仅限前2名。计分原则：按照对应竞赛等级的满分核定。</w:t>
      </w:r>
    </w:p>
    <w:p>
      <w:r>
        <w:t>⑦个人赛以对应竞赛等级满分核定。</w:t>
      </w:r>
    </w:p>
    <w:p>
      <w:r>
        <w:t>⑧各级别团队赛中的不在第3条和第5条限定范围内的其余团队成员，计分原则：按照对应竞赛等级中的其他等级计分。</w:t>
      </w:r>
    </w:p>
    <w:p>
      <w:r>
        <w:t>⑨ CCF CSP认证考试成绩，学院以每年统一组织的认证考试成绩为主。学生如果参加了其他时间段的CSP考试，可以自行提供考试报名以及分数证明等相关材料，审核通过后，作为该项成绩计入。</w:t>
      </w:r>
    </w:p>
    <w:p>
      <w:r>
        <w:t>⑩对不在《全国普通高校大学生竞赛排行榜》的竞赛和其他全国性计算机专业类的相关认证，提交推免工作小组讨论。</w:t>
      </w:r>
    </w:p>
    <w:p>
      <w:r>
        <w:t>六、工作纪律、回避报备与材料归档</w:t>
      </w:r>
    </w:p>
    <w:p>
      <w:r>
        <w:t>（一）回避与报备</w:t>
      </w:r>
    </w:p>
    <w:p>
      <w:r>
        <w:t>推免工作实行回避制度。学院推免工作相关人员，有直系亲属或其他利益相关人员报名参加推免招生的须主动申请回避，有非直系亲属等报名参加本校推免的要主动报备。相关学生申请推免资格时也应主动报备声明。</w:t>
      </w:r>
    </w:p>
    <w:p>
      <w:r>
        <w:t>学院回避情况须报学校教务处备案，对未按规定报备声明回避关系的推免相关工作人员，学校将依规依纪严肃处理；对未按规定报备声明回避关系且影响推免过程和结果公平公正的学生，学校将取消其推免资格。学院教职工特别是领导干部，若子女在本校参加推免，应主动向子女所在学院（部）报备，相关领导干部要全程回避。</w:t>
      </w:r>
    </w:p>
    <w:p>
      <w:r>
        <w:t>主动报备声明的相关学生，应于9月9日10:00前，把有关报告报送到学院推免工作小组徐老师（联系电话0512-65112670）；需回避和报备的工作人员将相关报告报送给学院推免工作小组王老师（联系电话0512-65112608）；学院统计回避和报备情况，填写《推免工作回避及报备统计表》，于9月17日17:00前报送电子文本及纸质盖章文本至学校教务处学籍管理科。</w:t>
      </w:r>
    </w:p>
    <w:p>
      <w:r>
        <w:t>（二）加分指标认定审核</w:t>
      </w:r>
    </w:p>
    <w:p>
      <w:r>
        <w:t>发展素质成绩的加分认定审核工作，实行学生申请-专家组鉴定-工作小组审定-结果公示的流程。所有申请学生须按照学院通知要求提交申请发展素质证明材料。各加分项目须通过认定审核后方可计分，未通过认定审核的加分项目不得计分。学生发展素质成绩的各项得分将会在9月13日随学院初选名单（含候补名单）一同在学院网站主页公示7日。</w:t>
      </w:r>
    </w:p>
    <w:p>
      <w:r>
        <w:t>（三）材料归档</w:t>
      </w:r>
    </w:p>
    <w:p>
      <w:r>
        <w:t>学院将完整保存推免工作全过程材料，所有纸质材料均会进行电子扫描保存。归档范围包括：学生报名申请材料及资格审核记录，学业成绩与综合评价成绩合成、排序底稿，答辩评分记录和录音录像，推免工作小组会议记录，公示文档及异议、申诉受理与处理记录，回避报备记录等。保存年限按教育部规定的下限执行：所有纸质材料均须进行电子扫描保存，其中，纸质材料保留不少于1年，电子扫描版和录音录像等电子材料保留不少于5年；涉及在办信访、举报或诉讼事项的，保存期延长至事项办结后2年。学院教务秘书负责归档，按届别建立归档台账，并将材料清单报教务处备案。</w:t>
      </w:r>
    </w:p>
    <w:p>
      <w:r>
        <w:t>七、咨询及申诉渠道</w:t>
      </w:r>
    </w:p>
    <w:p>
      <w:r>
        <w:t>学生如对推免程序、推免结果有异议，在公示期内，可实名向学院推免工作小组反映，联系人：徐老师，电话0512-65112670，邮箱xuchao@suda.edu.cn；学院推免工作小组组织开展核查，对核查存在的问题依规进行相应处理。匿名反映，不予受理。若学生对学院处理意见存疑，可实名向学校教务处申诉，联系人：胡老师，电话0512-67163652，邮箱xlhu@suda.edu.cn。</w:t>
      </w:r>
    </w:p>
    <w:p>
      <w:r>
        <w:t>八、其他事项说明</w:t>
      </w:r>
    </w:p>
    <w:p>
      <w:r>
        <w:t>已获推免资格的学生出现下列情形之一的，学校将取消其推免资格：</w:t>
      </w:r>
    </w:p>
    <w:p>
      <w:r>
        <w:t>（1）在申请推免过程中发现有弄虚作假或学术不端行为的。</w:t>
      </w:r>
    </w:p>
    <w:p>
      <w:r>
        <w:t>（2）获得推免资格后违反校纪校规，受到学校纪律处分，或被追究法律责任的。</w:t>
      </w:r>
    </w:p>
    <w:p>
      <w:r>
        <w:t>（3）本科毕业时不能按时获得学士学位的。</w:t>
      </w:r>
    </w:p>
    <w:p>
      <w:r>
        <w:t>（4）未按规定报备声明回避关系，且影响推免过程和结果公平公正的。</w:t>
      </w:r>
    </w:p>
    <w:p>
      <w:r>
        <w:t>（5）存在其他严重影响推免过程和结果公平公正的行为，并经学校推免生遴选工作领导小组认定属实的。</w:t>
      </w:r>
    </w:p>
    <w:p>
      <w:r>
        <w:t>九、附则</w:t>
      </w:r>
    </w:p>
    <w:p>
      <w:r>
        <w:t>本实施细则由计算机科学与技术学院、软件学院推免工作小组负责解释。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