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艺术学院推荐2025年优秀应届本科毕业生免试攻读研究生综合评价总分及初选名单补充公示</w:t>
      </w:r>
    </w:p>
    <w:p>
      <w:r>
        <w:t>经核实，环境设计专业吕金艺同学的实用新型专利项加分无效，总分变更为423分，，根据按专业总分排序产生推免名单的原则，确定向星融同学列入推免资格“是”，李宇哲同学列入“替补1”，吕金艺同学列入“替补2”名单，未涉及到的同学排名不变，具体排名调整如下：艺术学院推荐2025年优秀应届本科毕业生免试攻读研究生综合评价总分及初选名单补充公示.pdf</w:t>
      </w:r>
    </w:p>
    <w:p>
      <w:r>
        <w:t>苏州大学艺术学院</w:t>
      </w:r>
    </w:p>
    <w:p>
      <w:r>
        <w:t>2024年9月18日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