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计算机科学与通信工程学院2027年推荐优秀本科毕业生免试攻读硕士研究生实施办法</w:t>
      </w:r>
    </w:p>
    <w:p>
      <w:r>
        <w:t>第一章总则</w:t>
      </w:r>
    </w:p>
    <w:p>
      <w:r>
        <w:t>第一条为贯彻习近平总书记关于教育的重要论述和全国教育大会精神，落实全国研究生教育会议部署，进一步规范和加强推荐优秀应届本科毕业生免试攻读硕士研究生（以下简称“推免”）工作，同时促进和激励在校本科生勤奋学习、全面发展，根据教育部《全国普通高等学校推荐优秀应届本科毕业生免试攻读硕士学位研究生工作管理办法（试行）》(教学〔2006〕14号)《教育部办公厅关于进一步完善推荐优秀应届本科毕业生免试攻读研究生工作办法的通知》（教学厅〔2014〕5号）《教育部办公厅关于进一步规范和加强推荐优秀应届本科毕业生免试攻读研究生工作的通知》（教学厅〔2020〕12号）中共中央、国务院《深化新时代教育评价改革总体方案》和《江苏大学推荐优秀应届本科毕业生免试攻读硕士研究生实施办法》(江大校〔2021〕15号)文件精神，结合我院实际，制定本办法。</w:t>
      </w:r>
    </w:p>
    <w:p>
      <w:r>
        <w:t>第二条推免工作应紧紧围绕立德树人根本任务，牢固树立质量意识，全力服务国家建设和发展。要坚持德智体美劳全面衡量，以德为先；要坚持公开、公正、公平的原则进行综合评价，择优选拔。</w:t>
      </w:r>
    </w:p>
    <w:p>
      <w:r>
        <w:t>第二章组织领导</w:t>
      </w:r>
    </w:p>
    <w:p>
      <w:r>
        <w:t>第三条学院成立由院长担任组长的院推免工作领导小组，根据学校202 7级免试硕士研究生推免生推荐原则、要求和综合评价指标体系，开展本学院的推免生遴选工作。</w:t>
      </w:r>
    </w:p>
    <w:p>
      <w:r>
        <w:t>202 7级推免工作领导小组人员名单如下：</w:t>
      </w:r>
    </w:p>
    <w:p>
      <w:r>
        <w:t>组长：毛启容</w:t>
      </w:r>
    </w:p>
    <w:p>
      <w:r>
        <w:t>成员：孙国、陈锦富、杨博、韩飞、施静、梅牧雨</w:t>
      </w:r>
    </w:p>
    <w:p>
      <w:r>
        <w:t>秘书：韩晓茹</w:t>
      </w:r>
    </w:p>
    <w:p>
      <w:r>
        <w:t>第四条学院成立推免工作专家审核小组（专家组成员应具有相关学科副教授以上职称，一般不少于5人），严格审核认定学生的特殊学术专长。</w:t>
      </w:r>
    </w:p>
    <w:p>
      <w:r>
        <w:t>202 7级推免工作专家审核小组人员名单如下：</w:t>
      </w:r>
    </w:p>
    <w:p>
      <w:r>
        <w:t>组长：韩飞</w:t>
      </w:r>
    </w:p>
    <w:p>
      <w:r>
        <w:t>成员：潘雨青、朱轶、潘森杉、贾洪杰、熊书明、王训兵</w:t>
      </w:r>
    </w:p>
    <w:p>
      <w:r>
        <w:t>秘书：年轶</w:t>
      </w:r>
    </w:p>
    <w:p>
      <w:r>
        <w:t>第三章推荐条件</w:t>
      </w:r>
    </w:p>
    <w:p>
      <w:r>
        <w:t>第五条推免生应满足以下基本条件：</w:t>
      </w:r>
    </w:p>
    <w:p>
      <w:r>
        <w:t>（一）纳入国家普通本科招生计划录取的应届毕业生（不含专转本、第二学士学位以及有其它规定不参加推免的学生）。</w:t>
      </w:r>
    </w:p>
    <w:p>
      <w:r>
        <w:t>（二）德智体美劳全面发展，具有高尚的爱国主义情操和集体主义精神，社会主义信念坚定，社会责任感强，遵纪守法，积极向上，身心健康。</w:t>
      </w:r>
    </w:p>
    <w:p>
      <w:r>
        <w:t>（三）在校期间勤奋学习，刻苦钻研，实践能力强，成绩优秀，学术研究兴趣浓厚，有较强的创新意识、创新能力和专业培养潜力。</w:t>
      </w:r>
    </w:p>
    <w:p>
      <w:r>
        <w:t>（四）诚实守信，学风端正，无任何考试作弊和剽窃他人学术成果等学术不端记录。</w:t>
      </w:r>
    </w:p>
    <w:p>
      <w:r>
        <w:t>（五）品行表现优良，无任何违法违纪处分。</w:t>
      </w:r>
    </w:p>
    <w:p>
      <w:r>
        <w:t>（六）全国大学英语六级考试425分以上或雅思成绩6.5分或托福成绩85分以上。艺术类专业学生全国大学英语四级考试成绩在425分以上或雅思成绩5.5分或托福成绩75分以上。英语专业学生专四成绩良好以上。仅认定学校教务处组织的全国大学英语四级、六级考试成绩。</w:t>
      </w:r>
    </w:p>
    <w:p>
      <w:r>
        <w:t>（七）非计算机类专业的学生通过江苏省高等学校计算机等级考试或全国计算机等级考试。仅认定学校教务处组织的各类计算机等级考试成绩。</w:t>
      </w:r>
    </w:p>
    <w:p>
      <w:r>
        <w:t>（八）必修课和限选课平均学分绩点排名在本专业前20%（以第一次考试成绩为准），不及格不超过1门次。</w:t>
      </w:r>
    </w:p>
    <w:p>
      <w:r>
        <w:t>（九）在部队服兵役期间荣立二等功及以上者，且符合国家研究生报名条件，可以直接推荐。</w:t>
      </w:r>
    </w:p>
    <w:p>
      <w:r>
        <w:t>第四章推荐名额分配</w:t>
      </w:r>
    </w:p>
    <w:p>
      <w:r>
        <w:t>第六条根据校推荐免试研究生工作领导小组推荐名额分配，学院2 02 7级免试硕士研究生推荐名额共73名正选、2名备选。综合考虑各专业预计毕业生数、一流专业建设及优势学科情况等因素，具体分配方法如下：</w:t>
      </w:r>
    </w:p>
    <w:p>
      <w:r>
        <w:t>（一）专业基本推免名额= ⌊专业拟毕业人数/拟毕业总人数×学院总正选名额⌋，其中“ ⌊ ⌋ ”表示向下取整。</w:t>
      </w:r>
    </w:p>
    <w:p>
      <w:r>
        <w:t>（二）获批国家一流专业建设点的专业增加1个正选推免名额，达到此要求的专业有计算机科学与技术、信息安全、软件工程、物联网工程四个专业；获批江苏省三期品牌专业和产教融合型品牌专业建设点的专业增加1个正选推免名额，达到此要求的专业有计算机科学与技术、软件工程、信息安全三个专业。</w:t>
      </w:r>
    </w:p>
    <w:p>
      <w:r>
        <w:t>（三）按“专业拟毕业人数/拟毕业总人数×学院总正选名额”小数部分数值从大到小的顺序，通信工程、物联网工程、软件工程、计算机科学与技术四个专业各增加1个正选推免名额。计算机科学与技术(中澳学分互认联合培养)不在该条考虑之列。</w:t>
      </w:r>
    </w:p>
    <w:p>
      <w:r>
        <w:t>（四）综合考虑学科发展、学生学业表现等情况，2个备选名额在面试后经学院推免工作领导小组推荐决定。</w:t>
      </w:r>
    </w:p>
    <w:p>
      <w:r>
        <w:t>（五）专业正选推免名额=专业基本推免名额+专业增加的推免名额</w:t>
      </w:r>
    </w:p>
    <w:p>
      <w:r>
        <w:t>（六）如果计算机科学与技术（中澳学分互认联合培养）专业正选推免的人选不符合免试推研条件，则该名额定向分配给计算机科学与技术专业。</w:t>
      </w:r>
    </w:p>
    <w:p>
      <w:r>
        <w:t>（七）计算机科学与技术(省拔尖学生培养基地)的12个正选推免名额由学校直接下拨，不参与以上分配。</w:t>
      </w:r>
    </w:p>
    <w:p>
      <w:r>
        <w:t>各专业具体推荐名额分配如下：</w:t>
      </w:r>
    </w:p>
    <w:tbl>
      <w:tblPr>
        <w:tblStyle w:val="TableGrid"/>
        <w:tblW w:type="auto" w:w="0"/>
        <w:tblLook w:firstColumn="1" w:firstRow="1" w:lastColumn="0" w:lastRow="0" w:noHBand="0" w:noVBand="1" w:val="04A0"/>
      </w:tblPr>
      <w:tblGrid>
        <w:gridCol w:w="1234"/>
        <w:gridCol w:w="1234"/>
        <w:gridCol w:w="1234"/>
        <w:gridCol w:w="1234"/>
        <w:gridCol w:w="1234"/>
        <w:gridCol w:w="1234"/>
        <w:gridCol w:w="1234"/>
      </w:tblGrid>
      <w:tr>
        <w:tc>
          <w:tcPr>
            <w:tcW w:type="dxa" w:w="1234"/>
          </w:tcPr>
          <w:p>
            <w:r>
              <w:t>专业</w:t>
            </w:r>
          </w:p>
        </w:tc>
        <w:tc>
          <w:tcPr>
            <w:tcW w:type="dxa" w:w="1234"/>
          </w:tcPr>
          <w:p>
            <w:r>
              <w:t>拟毕业人数</w:t>
            </w:r>
          </w:p>
        </w:tc>
        <w:tc>
          <w:tcPr>
            <w:tcW w:type="dxa" w:w="1234"/>
          </w:tcPr>
          <w:p>
            <w:r>
              <w:t>专业基本推免名额（取整前）</w:t>
            </w:r>
          </w:p>
        </w:tc>
        <w:tc>
          <w:tcPr>
            <w:tcW w:type="dxa" w:w="1234"/>
          </w:tcPr>
          <w:p>
            <w:r>
              <w:t>专业基本推免名额</w:t>
            </w:r>
          </w:p>
        </w:tc>
        <w:tc>
          <w:tcPr>
            <w:tcW w:type="dxa" w:w="1234"/>
          </w:tcPr>
          <w:p>
            <w:r>
              <w:t>专业增加的推免名额</w:t>
            </w:r>
          </w:p>
        </w:tc>
        <w:tc>
          <w:tcPr>
            <w:tcW w:type="dxa" w:w="1234"/>
          </w:tcPr>
          <w:p>
            <w:r>
              <w:t>专业正选推免名额</w:t>
            </w:r>
          </w:p>
        </w:tc>
        <w:tc>
          <w:tcPr>
            <w:tcW w:type="dxa" w:w="1234"/>
          </w:tcPr>
          <w:p>
            <w:r>
              <w:t>备选名额</w:t>
            </w:r>
          </w:p>
        </w:tc>
      </w:tr>
      <w:tr>
        <w:tc>
          <w:tcPr>
            <w:tcW w:type="dxa" w:w="1234"/>
          </w:tcPr>
          <w:p>
            <w:r>
              <w:t>计算机科学与技术</w:t>
            </w:r>
          </w:p>
        </w:tc>
        <w:tc>
          <w:tcPr>
            <w:tcW w:type="dxa" w:w="1234"/>
          </w:tcPr>
          <w:p>
            <w:r>
              <w:t>201</w:t>
            </w:r>
          </w:p>
        </w:tc>
        <w:tc>
          <w:tcPr>
            <w:tcW w:type="dxa" w:w="1234"/>
          </w:tcPr>
          <w:p>
            <w:r>
              <w:t>15.53</w:t>
            </w:r>
          </w:p>
        </w:tc>
        <w:tc>
          <w:tcPr>
            <w:tcW w:type="dxa" w:w="1234"/>
          </w:tcPr>
          <w:p>
            <w:r>
              <w:t>15</w:t>
            </w:r>
          </w:p>
        </w:tc>
        <w:tc>
          <w:tcPr>
            <w:tcW w:type="dxa" w:w="1234"/>
          </w:tcPr>
          <w:p>
            <w:r>
              <w:t>3</w:t>
            </w:r>
          </w:p>
        </w:tc>
        <w:tc>
          <w:tcPr>
            <w:tcW w:type="dxa" w:w="1234"/>
          </w:tcPr>
          <w:p>
            <w:r>
              <w:t>18</w:t>
            </w:r>
          </w:p>
        </w:tc>
        <w:tc>
          <w:tcPr>
            <w:tcW w:type="dxa" w:w="1234"/>
          </w:tcPr>
          <w:p>
            <w:r>
              <w:t>面试后确定</w:t>
            </w:r>
          </w:p>
        </w:tc>
      </w:tr>
      <w:tr>
        <w:tc>
          <w:tcPr>
            <w:tcW w:type="dxa" w:w="1234"/>
          </w:tcPr>
          <w:p>
            <w:r>
              <w:t>信息安全</w:t>
            </w:r>
          </w:p>
        </w:tc>
        <w:tc>
          <w:tcPr>
            <w:tcW w:type="dxa" w:w="1234"/>
          </w:tcPr>
          <w:p>
            <w:r>
              <w:t>132</w:t>
            </w:r>
          </w:p>
        </w:tc>
        <w:tc>
          <w:tcPr>
            <w:tcW w:type="dxa" w:w="1234"/>
          </w:tcPr>
          <w:p>
            <w:r>
              <w:t>10.20</w:t>
            </w:r>
          </w:p>
        </w:tc>
        <w:tc>
          <w:tcPr>
            <w:tcW w:type="dxa" w:w="1234"/>
          </w:tcPr>
          <w:p>
            <w:r>
              <w:t>10</w:t>
            </w:r>
          </w:p>
        </w:tc>
        <w:tc>
          <w:tcPr>
            <w:tcW w:type="dxa" w:w="1234"/>
          </w:tcPr>
          <w:p>
            <w:r>
              <w:t>2</w:t>
            </w:r>
          </w:p>
        </w:tc>
        <w:tc>
          <w:tcPr>
            <w:tcW w:type="dxa" w:w="1234"/>
          </w:tcPr>
          <w:p>
            <w:r>
              <w:t>12</w:t>
            </w:r>
          </w:p>
        </w:tc>
        <w:tc>
          <w:tcPr>
            <w:tcW w:type="dxa" w:w="1234"/>
          </w:tcPr>
          <w:p/>
        </w:tc>
      </w:tr>
      <w:tr>
        <w:tc>
          <w:tcPr>
            <w:tcW w:type="dxa" w:w="1234"/>
          </w:tcPr>
          <w:p>
            <w:r>
              <w:t>软件工程</w:t>
            </w:r>
          </w:p>
        </w:tc>
        <w:tc>
          <w:tcPr>
            <w:tcW w:type="dxa" w:w="1234"/>
          </w:tcPr>
          <w:p>
            <w:r>
              <w:t>126</w:t>
            </w:r>
          </w:p>
        </w:tc>
        <w:tc>
          <w:tcPr>
            <w:tcW w:type="dxa" w:w="1234"/>
          </w:tcPr>
          <w:p>
            <w:r>
              <w:t>9.73</w:t>
            </w:r>
          </w:p>
        </w:tc>
        <w:tc>
          <w:tcPr>
            <w:tcW w:type="dxa" w:w="1234"/>
          </w:tcPr>
          <w:p>
            <w:r>
              <w:t>9</w:t>
            </w:r>
          </w:p>
        </w:tc>
        <w:tc>
          <w:tcPr>
            <w:tcW w:type="dxa" w:w="1234"/>
          </w:tcPr>
          <w:p>
            <w:r>
              <w:t>3</w:t>
            </w:r>
          </w:p>
        </w:tc>
        <w:tc>
          <w:tcPr>
            <w:tcW w:type="dxa" w:w="1234"/>
          </w:tcPr>
          <w:p>
            <w:r>
              <w:t>12</w:t>
            </w:r>
          </w:p>
        </w:tc>
        <w:tc>
          <w:tcPr>
            <w:tcW w:type="dxa" w:w="1234"/>
          </w:tcPr>
          <w:p/>
        </w:tc>
      </w:tr>
      <w:tr>
        <w:tc>
          <w:tcPr>
            <w:tcW w:type="dxa" w:w="1234"/>
          </w:tcPr>
          <w:p>
            <w:r>
              <w:t>物联网工程</w:t>
            </w:r>
          </w:p>
        </w:tc>
        <w:tc>
          <w:tcPr>
            <w:tcW w:type="dxa" w:w="1234"/>
          </w:tcPr>
          <w:p>
            <w:r>
              <w:t>102</w:t>
            </w:r>
          </w:p>
        </w:tc>
        <w:tc>
          <w:tcPr>
            <w:tcW w:type="dxa" w:w="1234"/>
          </w:tcPr>
          <w:p>
            <w:r>
              <w:t>7.88</w:t>
            </w:r>
          </w:p>
        </w:tc>
        <w:tc>
          <w:tcPr>
            <w:tcW w:type="dxa" w:w="1234"/>
          </w:tcPr>
          <w:p>
            <w:r>
              <w:t>7</w:t>
            </w:r>
          </w:p>
        </w:tc>
        <w:tc>
          <w:tcPr>
            <w:tcW w:type="dxa" w:w="1234"/>
          </w:tcPr>
          <w:p>
            <w:r>
              <w:t>2</w:t>
            </w:r>
          </w:p>
        </w:tc>
        <w:tc>
          <w:tcPr>
            <w:tcW w:type="dxa" w:w="1234"/>
          </w:tcPr>
          <w:p>
            <w:r>
              <w:t>9</w:t>
            </w:r>
          </w:p>
        </w:tc>
        <w:tc>
          <w:tcPr>
            <w:tcW w:type="dxa" w:w="1234"/>
          </w:tcPr>
          <w:p/>
        </w:tc>
      </w:tr>
      <w:tr>
        <w:tc>
          <w:tcPr>
            <w:tcW w:type="dxa" w:w="1234"/>
          </w:tcPr>
          <w:p>
            <w:r>
              <w:t>通信工程</w:t>
            </w:r>
          </w:p>
        </w:tc>
        <w:tc>
          <w:tcPr>
            <w:tcW w:type="dxa" w:w="1234"/>
          </w:tcPr>
          <w:p>
            <w:r>
              <w:t>116</w:t>
            </w:r>
          </w:p>
        </w:tc>
        <w:tc>
          <w:tcPr>
            <w:tcW w:type="dxa" w:w="1234"/>
          </w:tcPr>
          <w:p>
            <w:r>
              <w:t>8.96</w:t>
            </w:r>
          </w:p>
        </w:tc>
        <w:tc>
          <w:tcPr>
            <w:tcW w:type="dxa" w:w="1234"/>
          </w:tcPr>
          <w:p>
            <w:r>
              <w:t>8</w:t>
            </w:r>
          </w:p>
        </w:tc>
        <w:tc>
          <w:tcPr>
            <w:tcW w:type="dxa" w:w="1234"/>
          </w:tcPr>
          <w:p>
            <w:r>
              <w:t>1</w:t>
            </w:r>
          </w:p>
        </w:tc>
        <w:tc>
          <w:tcPr>
            <w:tcW w:type="dxa" w:w="1234"/>
          </w:tcPr>
          <w:p>
            <w:r>
              <w:t>9</w:t>
            </w:r>
          </w:p>
        </w:tc>
        <w:tc>
          <w:tcPr>
            <w:tcW w:type="dxa" w:w="1234"/>
          </w:tcPr>
          <w:p/>
        </w:tc>
      </w:tr>
      <w:tr>
        <w:tc>
          <w:tcPr>
            <w:tcW w:type="dxa" w:w="1234"/>
          </w:tcPr>
          <w:p>
            <w:r>
              <w:t>计算机科学与技术(中澳学分互认联合培养)</w:t>
            </w:r>
          </w:p>
        </w:tc>
        <w:tc>
          <w:tcPr>
            <w:tcW w:type="dxa" w:w="1234"/>
          </w:tcPr>
          <w:p>
            <w:r>
              <w:t>22</w:t>
            </w:r>
          </w:p>
        </w:tc>
        <w:tc>
          <w:tcPr>
            <w:tcW w:type="dxa" w:w="1234"/>
          </w:tcPr>
          <w:p>
            <w:r>
              <w:t>1.70</w:t>
            </w:r>
          </w:p>
        </w:tc>
        <w:tc>
          <w:tcPr>
            <w:tcW w:type="dxa" w:w="1234"/>
          </w:tcPr>
          <w:p>
            <w:r>
              <w:t>1</w:t>
            </w:r>
          </w:p>
        </w:tc>
        <w:tc>
          <w:tcPr>
            <w:tcW w:type="dxa" w:w="1234"/>
          </w:tcPr>
          <w:p>
            <w:r>
              <w:t>0</w:t>
            </w:r>
          </w:p>
        </w:tc>
        <w:tc>
          <w:tcPr>
            <w:tcW w:type="dxa" w:w="1234"/>
          </w:tcPr>
          <w:p>
            <w:r>
              <w:t>1</w:t>
            </w:r>
          </w:p>
        </w:tc>
        <w:tc>
          <w:tcPr>
            <w:tcW w:type="dxa" w:w="1234"/>
          </w:tcPr>
          <w:p/>
        </w:tc>
      </w:tr>
      <w:tr>
        <w:tc>
          <w:tcPr>
            <w:tcW w:type="dxa" w:w="1234"/>
          </w:tcPr>
          <w:p>
            <w:r>
              <w:t>计算机科学与技术(省拔尖学生培养基地)</w:t>
            </w:r>
          </w:p>
        </w:tc>
        <w:tc>
          <w:tcPr>
            <w:tcW w:type="dxa" w:w="1234"/>
          </w:tcPr>
          <w:p>
            <w:r>
              <w:t>25</w:t>
            </w:r>
          </w:p>
        </w:tc>
        <w:tc>
          <w:tcPr>
            <w:tcW w:type="dxa" w:w="1234"/>
          </w:tcPr>
          <w:p>
            <w:r>
              <w:t>12.00</w:t>
            </w:r>
          </w:p>
        </w:tc>
        <w:tc>
          <w:tcPr>
            <w:tcW w:type="dxa" w:w="1234"/>
          </w:tcPr>
          <w:p>
            <w:r>
              <w:t>12</w:t>
            </w:r>
          </w:p>
        </w:tc>
        <w:tc>
          <w:tcPr>
            <w:tcW w:type="dxa" w:w="1234"/>
          </w:tcPr>
          <w:p>
            <w:r>
              <w:t>0</w:t>
            </w:r>
          </w:p>
        </w:tc>
        <w:tc>
          <w:tcPr>
            <w:tcW w:type="dxa" w:w="1234"/>
          </w:tcPr>
          <w:p>
            <w:r>
              <w:t>12</w:t>
            </w:r>
          </w:p>
        </w:tc>
        <w:tc>
          <w:tcPr>
            <w:tcW w:type="dxa" w:w="1234"/>
          </w:tcPr>
          <w:p/>
        </w:tc>
      </w:tr>
      <w:tr>
        <w:tc>
          <w:tcPr>
            <w:tcW w:type="dxa" w:w="1234"/>
          </w:tcPr>
          <w:p>
            <w:r>
              <w:t>总计</w:t>
            </w:r>
          </w:p>
        </w:tc>
        <w:tc>
          <w:tcPr>
            <w:tcW w:type="dxa" w:w="1234"/>
          </w:tcPr>
          <w:p>
            <w:r>
              <w:t>724</w:t>
            </w:r>
          </w:p>
        </w:tc>
        <w:tc>
          <w:tcPr>
            <w:tcW w:type="dxa" w:w="1234"/>
          </w:tcPr>
          <w:p>
            <w:r>
              <w:t>/</w:t>
            </w:r>
          </w:p>
        </w:tc>
        <w:tc>
          <w:tcPr>
            <w:tcW w:type="dxa" w:w="1234"/>
          </w:tcPr>
          <w:p>
            <w:r>
              <w:t>62</w:t>
            </w:r>
          </w:p>
        </w:tc>
        <w:tc>
          <w:tcPr>
            <w:tcW w:type="dxa" w:w="1234"/>
          </w:tcPr>
          <w:p>
            <w:r>
              <w:t>11</w:t>
            </w:r>
          </w:p>
        </w:tc>
        <w:tc>
          <w:tcPr>
            <w:tcW w:type="dxa" w:w="1234"/>
          </w:tcPr>
          <w:p>
            <w:r>
              <w:t>73</w:t>
            </w:r>
          </w:p>
        </w:tc>
        <w:tc>
          <w:tcPr>
            <w:tcW w:type="dxa" w:w="1234"/>
          </w:tcPr>
          <w:p>
            <w:r>
              <w:t>2</w:t>
            </w:r>
          </w:p>
        </w:tc>
      </w:tr>
    </w:tbl>
    <w:p>
      <w:r>
        <w:t>第五章推免遴选办法</w:t>
      </w:r>
    </w:p>
    <w:p>
      <w:r>
        <w:t>第七条推免生遴选工作采取“本人申请、学院综合评价”的方式进行。学院对申请学生进行综合评价，按成绩从高分到低分排序后，结合学院各专业名额分配情况，确定学院推荐名单，公示无异议后报教务处。</w:t>
      </w:r>
    </w:p>
    <w:p>
      <w:r>
        <w:t>第八条综合评价成绩评定办法：综合评价成绩由平均学分绩点折算分（必修课和限选课）和发展素质评价分组成。其中，平均学分绩点折算分占85%，发展素质评价分占15%。</w:t>
      </w:r>
    </w:p>
    <w:p>
      <w:r>
        <w:t>（一）平均学分绩点折算分</w:t>
      </w:r>
    </w:p>
    <w:p>
      <w:r>
        <w:t>平均学分绩点折算分=平均学分绩点×10+50</w:t>
      </w:r>
    </w:p>
    <w:p>
      <w:r>
        <w:t>（二）发展素质评价分</w:t>
      </w:r>
    </w:p>
    <w:p>
      <w:r>
        <w:t>学校通过竞赛获奖、科研论文、参军入伍服兵役、参加志愿服务、到国际组织实习等方面对学生进行发展素质评价。</w:t>
      </w:r>
    </w:p>
    <w:p>
      <w:r>
        <w:t>（三）推荐免试硕士研究生综合评价指标体系详见附件。</w:t>
      </w:r>
    </w:p>
    <w:p>
      <w:r>
        <w:t>第六章推荐工作程序</w:t>
      </w:r>
    </w:p>
    <w:p>
      <w:r>
        <w:t>第九条推免工作按照以下程序进行：</w:t>
      </w:r>
    </w:p>
    <w:p>
      <w:r>
        <w:t>（一）个人申请。符合推荐条件的学生自愿申请，填写《江苏大学推荐免试硕士研究生申请表》、《江苏大学推荐免试硕士研究生综合评价评分表》和《江苏大学推免生志愿服务时长认定表》，并将申请表、综合评价评分表、认定表以及相应证明材料复印件（包括竞赛获奖、科研论文、参军入伍服兵役、参加志愿服务、到国际组织实习、荣誉称号等）报学院。</w:t>
      </w:r>
    </w:p>
    <w:p>
      <w:r>
        <w:t>（二）学院推荐。学院完成申请学生的资格审查以及对科研创新成果、论文、竞赛获奖奖项及内容的审核答辩工作，并根据综合评价指标体系得出申请学生的综合评价成绩，按照学校下达的名额进行排名后确定学院推荐名单（含候补推荐名单），并对拟推荐名单进行公示，公示期不少于3天。公示无异议后，将《推荐免试硕士研究生申请表》《推荐免试硕士研究生综合评价评分表》《江苏大学推免生志愿服务时长认定表》《推荐免试硕士研究生科研论文和竞赛获奖审核鉴定意见表》《学院推荐免试硕士研究生汇总表》《推免相关人员亲属或利益关系报备登记表》以及相关证明材料等报送教务处。</w:t>
      </w:r>
    </w:p>
    <w:p>
      <w:r>
        <w:t>第七章推荐工作要求</w:t>
      </w:r>
    </w:p>
    <w:p>
      <w:r>
        <w:t>第十条学院审核时须将学生思想品德考核作为推免生遴选的重要内容。严格遵循实事求是的原则，注重对学生政治态度、思想表现、道德品质、科学精神、诚实守信、遵纪守法等方面的考查，思想品德考核不合格者不予推荐。</w:t>
      </w:r>
    </w:p>
    <w:p>
      <w:r>
        <w:t>第十一条学院应成立专家审核小组（专家组成员应具有相关学科副教授以上职称，一般不少于5人），严格审核认定学生的特殊学术专长。学院专家审核小组可会同本研究领域权威专家、相关期刊杂志单位或赛事主办单位等，对申请推免资格学生的科研论文、竞赛获奖奖项及内容进行审核鉴定，排除抄袭、造假、冒名及有名无实等情况，并组织相关学生在一定范围内进行公开答辩。学院专家审核小组要给出明确审核鉴定意见并签字存档。答辩全程要录音录像，答辩结果申请者签字确认。</w:t>
      </w:r>
    </w:p>
    <w:p>
      <w:r>
        <w:t>第十二条推免生学术专长原则上仅限学生本科阶段在核心期刊上以独立作者或第一作者发表的与学业相关的科研论文；作为主力成员参加与学业相关的国内权威科研竞赛（全国赛）并获得第三等次及以上奖励（国际赛事参照执行，但不得低于国内赛事相关要求）。对学生提交的多篇科研成果实行代表作评价，评价重点聚焦到创新质量和个人贡献。</w:t>
      </w:r>
    </w:p>
    <w:p>
      <w:r>
        <w:t>第十三条竞赛获奖认定细则补充说明：</w:t>
      </w:r>
    </w:p>
    <w:p>
      <w:r>
        <w:t>（一）同一学生同一年度同一作品奖项不累加计算，只算最高等级。同一学生不同年度同一赛事奖项可累加计算。</w:t>
      </w:r>
    </w:p>
    <w:p>
      <w:r>
        <w:t>（二）多人合作参加的赛事（非团体赛），仅前三名可加分。如果所有参赛人员在获奖证书上排序相同、或者参赛人员获奖证书之间人员排序有不一致的情况，按参赛报名表（注：指导教师负责提供参赛报名表）上人员排序计算加分。</w:t>
      </w:r>
    </w:p>
    <w:p>
      <w:r>
        <w:t>（三）团体赛事仅前十名可加分，前十名人员以及其贡献排序由指导教师按参赛实际贡献给出，贡献第1-3名按排序第1加分，贡献第4-6名按排序第2加分，贡献第7-10名按排序第3加分。</w:t>
      </w:r>
    </w:p>
    <w:p>
      <w:r>
        <w:t>第十四条学生与直系亲属或学历、职称、职务明显高于本人者合作的科研论文、竞赛奖项等仅作为参考，不纳入学生本人推免遴选综合评价成绩计算体系，同等条件下可优先考虑。</w:t>
      </w:r>
    </w:p>
    <w:p>
      <w:r>
        <w:t>第十五条推免工作实行报备和回避制度：</w:t>
      </w:r>
    </w:p>
    <w:p>
      <w:r>
        <w:t>（一）申请学生若有亲属（直系亲属和非直系亲属）或利益相关人员（如收费辅导教学等）参与学校或学院推免相关工作的，应主动向所在学院递交《推免相关人员亲属或利益关系报备登记表》，说明情况。</w:t>
      </w:r>
    </w:p>
    <w:p>
      <w:r>
        <w:t>（二）推免相关工作人员有直系亲属或利益相关人员（如收费辅导教学等）报名参加本单位推免招生的应主动申请回避，有非直系亲属等报名参加推免招生的要主动报备，《推免相关人员亲属或利益关系报备登记表》须递交学生所在学院。</w:t>
      </w:r>
    </w:p>
    <w:p>
      <w:r>
        <w:t>（三）对未按规定报备声明回避关系推免相关工作人员，学校将依规依纪严肃处理；对未按规定报备声明回避关系且影响推免过程和结果公平公正的学生，学校将取消其推免资格。</w:t>
      </w:r>
    </w:p>
    <w:p>
      <w:r>
        <w:t>第八章附则</w:t>
      </w:r>
    </w:p>
    <w:p>
      <w:r>
        <w:t>第十六条本办法由计算机科学与通信工程学院负责解释。</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