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能源与动力学院关于2027届本科毕业生推荐免试攻读硕士学位研究生的工作细则</w:t>
      </w:r>
    </w:p>
    <w:p>
      <w:r>
        <w:t>一、组织领导</w:t>
      </w:r>
    </w:p>
    <w:p>
      <w:r>
        <w:t>为做好2027届本科毕业生推荐免试攻读硕士学位研究生工作，经党政联席会议研究决定，成立学院推免生遴选工作小组和推免工作监督小组，负责统筹推进、协调督查推免工作。</w:t>
      </w:r>
    </w:p>
    <w:p>
      <w:r>
        <w:t>推免生遴选工作小组成员如下：</w:t>
      </w:r>
    </w:p>
    <w:p>
      <w:r>
        <w:t>组长：谭慧俊</w:t>
      </w:r>
    </w:p>
    <w:p>
      <w:r>
        <w:t>副组长：张悦王春燕樊小杰潘慕绚</w:t>
      </w:r>
    </w:p>
    <w:p>
      <w:r>
        <w:t>组员：谢文忠杨荣菲张宏建尤超鲁峰庞淑伟</w:t>
      </w:r>
    </w:p>
    <w:p>
      <w:r>
        <w:t>颜应文王春华周冠王源隆龚慧林彭丽</w:t>
      </w:r>
    </w:p>
    <w:p>
      <w:r>
        <w:t>秘书：李承阳曾海强张书菡</w:t>
      </w:r>
    </w:p>
    <w:p>
      <w:r>
        <w:t>推免工作监督小组成员如下：</w:t>
      </w:r>
    </w:p>
    <w:p>
      <w:r>
        <w:t>组长：许静</w:t>
      </w:r>
    </w:p>
    <w:p>
      <w:r>
        <w:t>副组长：高希光</w:t>
      </w:r>
    </w:p>
    <w:p>
      <w:r>
        <w:t>组员：黄河峡漆文凯于兵杨理理李玉芳</w:t>
      </w:r>
    </w:p>
    <w:p>
      <w:r>
        <w:t>二、推免名额分配</w:t>
      </w:r>
    </w:p>
    <w:p>
      <w:r>
        <w:t>202 7届我院推荐免试攻读硕士学位研究生名额为77名，候补名额为2 3名。具体分配如下：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w:t>
            </w:r>
          </w:p>
        </w:tc>
        <w:tc>
          <w:tcPr>
            <w:tcW w:type="dxa" w:w="2160"/>
          </w:tcPr>
          <w:p>
            <w:r>
              <w:t>学生人数</w:t>
            </w:r>
          </w:p>
        </w:tc>
        <w:tc>
          <w:tcPr>
            <w:tcW w:type="dxa" w:w="2160"/>
          </w:tcPr>
          <w:p>
            <w:r>
              <w:t>推荐名额</w:t>
            </w:r>
          </w:p>
        </w:tc>
        <w:tc>
          <w:tcPr>
            <w:tcW w:type="dxa" w:w="2160"/>
          </w:tcPr>
          <w:p>
            <w:r>
              <w:t>候补推荐名额</w:t>
            </w:r>
          </w:p>
        </w:tc>
      </w:tr>
      <w:tr>
        <w:tc>
          <w:tcPr>
            <w:tcW w:type="dxa" w:w="2160"/>
          </w:tcPr>
          <w:p>
            <w:r>
              <w:t>飞行器动力工程</w:t>
            </w:r>
          </w:p>
        </w:tc>
        <w:tc>
          <w:tcPr>
            <w:tcW w:type="dxa" w:w="2160"/>
          </w:tcPr>
          <w:p>
            <w:r>
              <w:t>217</w:t>
            </w:r>
          </w:p>
        </w:tc>
        <w:tc>
          <w:tcPr>
            <w:tcW w:type="dxa" w:w="2160"/>
          </w:tcPr>
          <w:p>
            <w:r>
              <w:t>51</w:t>
            </w:r>
          </w:p>
        </w:tc>
        <w:tc>
          <w:tcPr>
            <w:tcW w:type="dxa" w:w="2160"/>
          </w:tcPr>
          <w:p>
            <w:r>
              <w:t>14</w:t>
            </w:r>
          </w:p>
        </w:tc>
      </w:tr>
      <w:tr>
        <w:tc>
          <w:tcPr>
            <w:tcW w:type="dxa" w:w="2160"/>
          </w:tcPr>
          <w:p>
            <w:r>
              <w:t>能源与动力工程</w:t>
            </w:r>
          </w:p>
        </w:tc>
        <w:tc>
          <w:tcPr>
            <w:tcW w:type="dxa" w:w="2160"/>
          </w:tcPr>
          <w:p>
            <w:r>
              <w:t>63</w:t>
            </w:r>
          </w:p>
        </w:tc>
        <w:tc>
          <w:tcPr>
            <w:tcW w:type="dxa" w:w="2160"/>
          </w:tcPr>
          <w:p>
            <w:r>
              <w:t>14</w:t>
            </w:r>
          </w:p>
        </w:tc>
        <w:tc>
          <w:tcPr>
            <w:tcW w:type="dxa" w:w="2160"/>
          </w:tcPr>
          <w:p>
            <w:r>
              <w:t>5</w:t>
            </w:r>
          </w:p>
        </w:tc>
      </w:tr>
      <w:tr>
        <w:tc>
          <w:tcPr>
            <w:tcW w:type="dxa" w:w="2160"/>
          </w:tcPr>
          <w:p>
            <w:r>
              <w:t>车辆工程</w:t>
            </w:r>
          </w:p>
        </w:tc>
        <w:tc>
          <w:tcPr>
            <w:tcW w:type="dxa" w:w="2160"/>
          </w:tcPr>
          <w:p>
            <w:r>
              <w:t>57</w:t>
            </w:r>
          </w:p>
        </w:tc>
        <w:tc>
          <w:tcPr>
            <w:tcW w:type="dxa" w:w="2160"/>
          </w:tcPr>
          <w:p>
            <w:r>
              <w:t>12</w:t>
            </w:r>
          </w:p>
        </w:tc>
        <w:tc>
          <w:tcPr>
            <w:tcW w:type="dxa" w:w="2160"/>
          </w:tcPr>
          <w:p>
            <w:r>
              <w:t>4</w:t>
            </w:r>
          </w:p>
        </w:tc>
      </w:tr>
      <w:tr>
        <w:tc>
          <w:tcPr>
            <w:tcW w:type="dxa" w:w="2160"/>
          </w:tcPr>
          <w:p>
            <w:r>
              <w:t>合计</w:t>
            </w:r>
          </w:p>
        </w:tc>
        <w:tc>
          <w:tcPr>
            <w:tcW w:type="dxa" w:w="2160"/>
          </w:tcPr>
          <w:p>
            <w:r>
              <w:t>337</w:t>
            </w:r>
          </w:p>
        </w:tc>
        <w:tc>
          <w:tcPr>
            <w:tcW w:type="dxa" w:w="2160"/>
          </w:tcPr>
          <w:p>
            <w:r>
              <w:t>77</w:t>
            </w:r>
          </w:p>
        </w:tc>
        <w:tc>
          <w:tcPr>
            <w:tcW w:type="dxa" w:w="2160"/>
          </w:tcPr>
          <w:p>
            <w:r>
              <w:t>23</w:t>
            </w:r>
          </w:p>
        </w:tc>
      </w:tr>
    </w:tbl>
    <w:p>
      <w:r>
        <w:t>同时，鼓励专业综合素质高的学生申请研究生支教专项计划（简称“支教专项”）推免，为欠发达地区的教育事业发展做贡献。“支教专项”推免，由学生申报，学校组织遴选。鼓励符合推免条件的学生申报直博生，“支教专项”推免生不能申请我校直博生。</w:t>
      </w:r>
    </w:p>
    <w:p>
      <w:r>
        <w:t>三、推荐条件</w:t>
      </w:r>
    </w:p>
    <w:p>
      <w:r>
        <w:t>（一）应为国家应届毕业年级学生，热爱社会主义祖国，拥护中国共产党的领导，在公开场合未出现有损党和国家以及学校、学院声誉的言行；在校期间无违法违纪行为，未受到学校、学院纪律处分；未违背学术诚信；尊敬师长，道德品质优良。</w:t>
      </w:r>
    </w:p>
    <w:p>
      <w:r>
        <w:t>（二）学习成绩优良，须通过当前全部应修的必修课程，必修课程的平均学分绩点（以下简称：必修GPA）大于等于3.2。</w:t>
      </w:r>
    </w:p>
    <w:p>
      <w:r>
        <w:t>（三）综合能力强，学术研究兴趣浓厚，具有国际视野和较强的专业素质能力、科研创新潜质。</w:t>
      </w:r>
    </w:p>
    <w:p>
      <w:r>
        <w:t>（四）申请推免资格，须满足以上三个基本条件和以下条件之一：</w:t>
      </w:r>
    </w:p>
    <w:p>
      <w:r>
        <w:t>条件1.本硕（博）连读培养且考核合格；</w:t>
      </w:r>
    </w:p>
    <w:p>
      <w:r>
        <w:t>条件2.必修GPA在专业排名前35 %（不包含本硕连读培养学生进行的专业排名）；</w:t>
      </w:r>
    </w:p>
    <w:p>
      <w:r>
        <w:t>条件3.必修GPA在专业排名前50 %，且本科阶段在Ⅰ级甲等、Ⅰ级乙等竞赛中获得前三等次奖项或在Ⅱ级甲等竞赛（全国赛）中获得前二等次奖项。</w:t>
      </w:r>
    </w:p>
    <w:p>
      <w:r>
        <w:t>其中Ⅰ级甲等竞赛，团队排名须在前6名；Ⅰ级乙等竞赛，团队排名须在前4名；Ⅱ级甲等竞赛，团队排名须在前3名。</w:t>
      </w:r>
    </w:p>
    <w:p>
      <w:r>
        <w:t>条件4.必修GPA在专业排名前50 %，且本科阶段在核心期刊上以独立作者、第一作者或与指导教师联合发表（限指导教师和学生分别为第一、第二作者且其他作者中无直系亲属）与学业相关且被学院专家审核小组认可的科研论文（见刊或Online为准）。</w:t>
      </w:r>
    </w:p>
    <w:p>
      <w:r>
        <w:t>四、综合评价体系</w:t>
      </w:r>
    </w:p>
    <w:p>
      <w:r>
        <w:t>推免资格依据推免遴选综合评价分进行排名，择优授予。符合推免基本条件的学生可对照相应的要求选择其中一类申请。</w:t>
      </w:r>
    </w:p>
    <w:p>
      <w:r>
        <w:t>推免综合评价分=学习能力分+创新能力分+素质拓展分。其中学习能力分在综合评价分中所占比率不低于7 0%。</w:t>
      </w:r>
    </w:p>
    <w:p>
      <w:r>
        <w:t>（一）学习能力分</w:t>
      </w:r>
    </w:p>
    <w:p>
      <w:r>
        <w:t>1.符合条件2、3和4的学生学习能力分=必修GPA。</w:t>
      </w:r>
    </w:p>
    <w:p>
      <w:r>
        <w:t>2.符合条件1的学生学习能力分=必修GPA+0.8。</w:t>
      </w:r>
    </w:p>
    <w:p>
      <w:r>
        <w:t>3.必修GPA以教务系统数据为准。</w:t>
      </w:r>
    </w:p>
    <w:p>
      <w:r>
        <w:t>（二）创新能力分</w:t>
      </w:r>
    </w:p>
    <w:p>
      <w:r>
        <w:t>1.创新能力分评分依据包括与学业相关的学科竞赛奖项、科研论文和创新项目，按四舍五入法取小数点后两位。学生在学科竞赛、科研论文或创新项目有多项加分情况时，每个类别取其中最高项得分，不重复计分。</w:t>
      </w:r>
    </w:p>
    <w:p>
      <w:r>
        <w:t>2.符合条件3的学生创新能力分只包括竞赛奖项得分，具体加分分值计算公式为：</w:t>
      </w:r>
    </w:p>
    <w:p>
      <w:r>
        <w:t>竞赛奖项得分= a（必修平均绩点）/5×b（竞赛加权系数）×c（团队排名系数）</w:t>
      </w:r>
    </w:p>
    <w:p>
      <w:r>
        <w:t>（1）a等于按202 7届学生必修GPA排名全院前50 %学生的必修GPA平均值；</w:t>
      </w:r>
    </w:p>
    <w:p>
      <w:r>
        <w:t>（2）竞赛加权系数b取值如下表所示：</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竞赛获奖等级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w:t>
            </w:r>
          </w:p>
        </w:tc>
        <w:tc>
          <w:tcPr>
            <w:tcW w:type="dxa" w:w="2160"/>
          </w:tcPr>
          <w:p>
            <w:r>
              <w:t>1.0</w:t>
            </w:r>
          </w:p>
        </w:tc>
        <w:tc>
          <w:tcPr>
            <w:tcW w:type="dxa" w:w="2160"/>
          </w:tcPr>
          <w:p>
            <w:r>
              <w:t>0.8</w:t>
            </w:r>
          </w:p>
        </w:tc>
        <w:tc>
          <w:tcPr>
            <w:tcW w:type="dxa" w:w="2160"/>
          </w:tcPr>
          <w:p>
            <w:r>
              <w:t>0.4</w:t>
            </w:r>
          </w:p>
        </w:tc>
      </w:tr>
      <w:tr>
        <w:tc>
          <w:tcPr>
            <w:tcW w:type="dxa" w:w="2160"/>
          </w:tcPr>
          <w:p>
            <w:r>
              <w:t>Ⅰ级乙等</w:t>
            </w:r>
          </w:p>
        </w:tc>
        <w:tc>
          <w:tcPr>
            <w:tcW w:type="dxa" w:w="2160"/>
          </w:tcPr>
          <w:p>
            <w:r>
              <w:t>0.8</w:t>
            </w:r>
          </w:p>
        </w:tc>
        <w:tc>
          <w:tcPr>
            <w:tcW w:type="dxa" w:w="2160"/>
          </w:tcPr>
          <w:p>
            <w:r>
              <w:t>0.4</w:t>
            </w:r>
          </w:p>
        </w:tc>
        <w:tc>
          <w:tcPr>
            <w:tcW w:type="dxa" w:w="2160"/>
          </w:tcPr>
          <w:p>
            <w:r>
              <w:t>0.2</w:t>
            </w:r>
          </w:p>
        </w:tc>
      </w:tr>
      <w:tr>
        <w:tc>
          <w:tcPr>
            <w:tcW w:type="dxa" w:w="2160"/>
          </w:tcPr>
          <w:p>
            <w:r>
              <w:t>Ⅱ级甲等</w:t>
            </w:r>
          </w:p>
        </w:tc>
        <w:tc>
          <w:tcPr>
            <w:tcW w:type="dxa" w:w="2160"/>
          </w:tcPr>
          <w:p>
            <w:r>
              <w:t>0.2</w:t>
            </w:r>
          </w:p>
        </w:tc>
        <w:tc>
          <w:tcPr>
            <w:tcW w:type="dxa" w:w="2160"/>
          </w:tcPr>
          <w:p>
            <w:r>
              <w:t>0.1</w:t>
            </w:r>
          </w:p>
        </w:tc>
        <w:tc>
          <w:tcPr>
            <w:tcW w:type="dxa" w:w="2160"/>
          </w:tcPr>
          <w:p>
            <w:r>
              <w:t>/</w:t>
            </w:r>
          </w:p>
        </w:tc>
      </w:tr>
    </w:tbl>
    <w:p>
      <w:r>
        <w:t>（3）以团队参赛的，c=1-0.15*（团队排名-1），排名以获奖证书上的名单顺序为准。</w:t>
      </w:r>
    </w:p>
    <w:p>
      <w:r>
        <w:t>3 .符合条件4且论文已见刊或正式网络发表的学生，创新能力分评分依据只包括科研论文，评分标准见下表：</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论文类别</w:t>
            </w:r>
          </w:p>
        </w:tc>
        <w:tc>
          <w:tcPr>
            <w:tcW w:type="dxa" w:w="2880"/>
          </w:tcPr>
          <w:p>
            <w:r>
              <w:t>评分</w:t>
            </w:r>
          </w:p>
        </w:tc>
      </w:tr>
      <w:tr>
        <w:tc>
          <w:tcPr>
            <w:tcW w:type="dxa" w:w="2880"/>
          </w:tcPr>
          <w:p>
            <w:r>
              <w:t>A级</w:t>
            </w:r>
          </w:p>
        </w:tc>
        <w:tc>
          <w:tcPr>
            <w:tcW w:type="dxa" w:w="2880"/>
          </w:tcPr>
          <w:p>
            <w:r>
              <w:t>中国科技期刊卓越行动计划领军类入选项目期刊或国外高水平期刊论文</w:t>
            </w:r>
          </w:p>
        </w:tc>
        <w:tc>
          <w:tcPr>
            <w:tcW w:type="dxa" w:w="2880"/>
          </w:tcPr>
          <w:p>
            <w:r>
              <w:t>0.6分</w:t>
            </w:r>
          </w:p>
        </w:tc>
      </w:tr>
      <w:tr>
        <w:tc>
          <w:tcPr>
            <w:tcW w:type="dxa" w:w="2880"/>
          </w:tcPr>
          <w:p>
            <w:r>
              <w:t>B级</w:t>
            </w:r>
          </w:p>
        </w:tc>
        <w:tc>
          <w:tcPr>
            <w:tcW w:type="dxa" w:w="2880"/>
          </w:tcPr>
          <w:p>
            <w:r>
              <w:t>重要核心或EI论文</w:t>
            </w:r>
          </w:p>
        </w:tc>
        <w:tc>
          <w:tcPr>
            <w:tcW w:type="dxa" w:w="2880"/>
          </w:tcPr>
          <w:p>
            <w:r>
              <w:t>0.4分</w:t>
            </w:r>
          </w:p>
        </w:tc>
      </w:tr>
      <w:tr>
        <w:tc>
          <w:tcPr>
            <w:tcW w:type="dxa" w:w="2880"/>
          </w:tcPr>
          <w:p>
            <w:r>
              <w:t>C级</w:t>
            </w:r>
          </w:p>
        </w:tc>
        <w:tc>
          <w:tcPr>
            <w:tcW w:type="dxa" w:w="2880"/>
          </w:tcPr>
          <w:p>
            <w:r>
              <w:t>一般核心期刊论文</w:t>
            </w:r>
          </w:p>
        </w:tc>
        <w:tc>
          <w:tcPr>
            <w:tcW w:type="dxa" w:w="2880"/>
          </w:tcPr>
          <w:p>
            <w:r>
              <w:t>0.2分</w:t>
            </w:r>
          </w:p>
        </w:tc>
      </w:tr>
    </w:tbl>
    <w:p>
      <w:r>
        <w:t>4 .符合条件1和2的学生创新能力分不高于0.08分，竞赛获奖和创新项目可同时加分，但同一类别只能加一次分，评分参考范围见下表：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等级</w:t>
            </w:r>
          </w:p>
        </w:tc>
        <w:tc>
          <w:tcPr>
            <w:tcW w:type="dxa" w:w="1440"/>
          </w:tcPr>
          <w:p>
            <w:r>
              <w:t>评分</w:t>
            </w:r>
          </w:p>
        </w:tc>
        <w:tc>
          <w:tcPr>
            <w:tcW w:type="dxa" w:w="1440"/>
          </w:tcPr>
          <w:p>
            <w:r>
              <w:t>类别</w:t>
            </w:r>
          </w:p>
        </w:tc>
        <w:tc>
          <w:tcPr>
            <w:tcW w:type="dxa" w:w="1440"/>
          </w:tcPr>
          <w:p>
            <w:r>
              <w:t>等级</w:t>
            </w:r>
          </w:p>
        </w:tc>
        <w:tc>
          <w:tcPr>
            <w:tcW w:type="dxa" w:w="1440"/>
          </w:tcPr>
          <w:p>
            <w:r>
              <w:t>评分</w:t>
            </w:r>
          </w:p>
        </w:tc>
      </w:tr>
      <w:tr>
        <w:tc>
          <w:tcPr>
            <w:tcW w:type="dxa" w:w="1440"/>
          </w:tcPr>
          <w:p>
            <w:r>
              <w:t>竞赛获奖</w:t>
            </w:r>
          </w:p>
        </w:tc>
        <w:tc>
          <w:tcPr>
            <w:tcW w:type="dxa" w:w="1440"/>
          </w:tcPr>
          <w:p>
            <w:r>
              <w:t>Ⅰ级甲等</w:t>
            </w:r>
          </w:p>
        </w:tc>
        <w:tc>
          <w:tcPr>
            <w:tcW w:type="dxa" w:w="1440"/>
          </w:tcPr>
          <w:p>
            <w:r>
              <w:t>0.04</w:t>
            </w:r>
          </w:p>
        </w:tc>
        <w:tc>
          <w:tcPr>
            <w:tcW w:type="dxa" w:w="1440"/>
          </w:tcPr>
          <w:p>
            <w:r>
              <w:t>创新项目</w:t>
            </w:r>
          </w:p>
        </w:tc>
        <w:tc>
          <w:tcPr>
            <w:tcW w:type="dxa" w:w="1440"/>
          </w:tcPr>
          <w:p>
            <w:r>
              <w:t>国家级</w:t>
            </w:r>
          </w:p>
        </w:tc>
        <w:tc>
          <w:tcPr>
            <w:tcW w:type="dxa" w:w="1440"/>
          </w:tcPr>
          <w:p>
            <w:r>
              <w:t>0.04</w:t>
            </w:r>
          </w:p>
        </w:tc>
      </w:tr>
      <w:tr>
        <w:tc>
          <w:tcPr>
            <w:tcW w:type="dxa" w:w="1440"/>
          </w:tcPr>
          <w:p>
            <w:r>
              <w:t>Ⅰ级乙等</w:t>
            </w:r>
          </w:p>
        </w:tc>
        <w:tc>
          <w:tcPr>
            <w:tcW w:type="dxa" w:w="1440"/>
          </w:tcPr>
          <w:p>
            <w:r>
              <w:t>0.02</w:t>
            </w:r>
          </w:p>
        </w:tc>
        <w:tc>
          <w:tcPr>
            <w:tcW w:type="dxa" w:w="1440"/>
          </w:tcPr>
          <w:p>
            <w:r>
              <w:t>省级</w:t>
            </w:r>
          </w:p>
        </w:tc>
        <w:tc>
          <w:tcPr>
            <w:tcW w:type="dxa" w:w="1440"/>
          </w:tcPr>
          <w:p>
            <w:r>
              <w:t>0.02</w:t>
            </w:r>
          </w:p>
        </w:tc>
        <w:tc>
          <w:tcPr>
            <w:tcW w:type="dxa" w:w="1440"/>
          </w:tcPr>
          <w:p/>
        </w:tc>
        <w:tc>
          <w:tcPr>
            <w:tcW w:type="dxa" w:w="1440"/>
          </w:tcPr>
          <w:p/>
        </w:tc>
      </w:tr>
      <w:tr>
        <w:tc>
          <w:tcPr>
            <w:tcW w:type="dxa" w:w="1440"/>
          </w:tcPr>
          <w:p>
            <w:r>
              <w:t>Ⅱ级甲等</w:t>
            </w:r>
          </w:p>
        </w:tc>
        <w:tc>
          <w:tcPr>
            <w:tcW w:type="dxa" w:w="1440"/>
          </w:tcPr>
          <w:p>
            <w:r>
              <w:t>0.01</w:t>
            </w:r>
          </w:p>
        </w:tc>
        <w:tc>
          <w:tcPr>
            <w:tcW w:type="dxa" w:w="1440"/>
          </w:tcPr>
          <w:p>
            <w:r>
              <w:t>校级</w:t>
            </w:r>
          </w:p>
        </w:tc>
        <w:tc>
          <w:tcPr>
            <w:tcW w:type="dxa" w:w="1440"/>
          </w:tcPr>
          <w:p>
            <w:r>
              <w:t>0.01</w:t>
            </w:r>
          </w:p>
        </w:tc>
        <w:tc>
          <w:tcPr>
            <w:tcW w:type="dxa" w:w="1440"/>
          </w:tcPr>
          <w:p/>
        </w:tc>
        <w:tc>
          <w:tcPr>
            <w:tcW w:type="dxa" w:w="1440"/>
          </w:tcPr>
          <w:p/>
        </w:tc>
      </w:tr>
    </w:tbl>
    <w:p>
      <w:r>
        <w:t>其中，I级甲等前三等次团队排名从第7名开始计算，（第四等次团队排名从第1名开始计算）；I级乙等前三等次团队排名从第5名开始计算，（第四等次团队排名从第1名开始计算）；II级甲等前二等次团队排名从第4名开始计算，（第三/第四等次团队排名从第1名开始计算），排名以获奖证书上的名单顺序为准。创新项目包括创新训练计划项目、自由探索计划项目、工程实践计划项目、本科生学术论坛。以团队参与创新项目的，按照结题证书上的工作量比例计算分值。本科生学术论坛论文只计算第一作者，等级为校级。</w:t>
      </w:r>
    </w:p>
    <w:p>
      <w:r>
        <w:t>5 .对申请推免资格学生的科研创新成果、论文、竞赛获奖奖项及内容进行审核鉴定过程中，可根据审核鉴定需要在一定范围内组织公开答辩，并全程录音录像。对联合参赛、与指导教师联合发表论文等情况，学生须出具指导教师本人撰写并署名的推荐信，客观陈述学生在联合成果中的实际贡献。</w:t>
      </w:r>
    </w:p>
    <w:p>
      <w:r>
        <w:t>（三）素质拓展分</w:t>
      </w:r>
    </w:p>
    <w:p>
      <w:r>
        <w:t>本项是素质拓展加分，原则上不高于0. 4分，按四舍五入法取小数点后两位。素质拓展分包括各类评优评奖、在卓工班/培优班学业表现、学术潜质、参军入伍服兵役、到国际组织实习、参加有组织志愿服务、学生工作等。素质拓展加分由学院组织学生进行综合答辩确定。</w:t>
      </w:r>
    </w:p>
    <w:p>
      <w:r>
        <w:t>五、工作程序</w:t>
      </w:r>
    </w:p>
    <w:p>
      <w:r>
        <w:t>1．推免工作按照《南京航空航天大学关于做好202 7届本科毕业生推荐免试攻读硕士学位研究生工作的通知》具体要求，通过学院动员、公布推免细则、学生申请、学院组织条件审核和综合答辩、确定拟推荐学生名单、学院公示和学校评审、学校公示等工作程序进行。</w:t>
      </w:r>
    </w:p>
    <w:p>
      <w:r>
        <w:t>2．学院制定推免工作细则，报校推免小组审查、备案。学院推免工作细则和排名结果在全校范围内公布。</w:t>
      </w:r>
    </w:p>
    <w:p>
      <w:r>
        <w:t>3．学院在规定时间节点前将学院拟推荐名单上报校推免小组审核，拟推荐名单和推荐材料由学院公示。</w:t>
      </w:r>
    </w:p>
    <w:p>
      <w:r>
        <w:t>4．“支教专项”拟推荐名单由校团委在网站上公示。</w:t>
      </w:r>
    </w:p>
    <w:p>
      <w:r>
        <w:t>5．校推免小组审核和审定的推免生名单，在教务处网站公示。同时，推免生在教育部学籍学历信息管理平台上查询并核对本人学籍信息，确保信息准确、完整，如有问题应尽快联系教务处。</w:t>
      </w:r>
    </w:p>
    <w:p>
      <w:r>
        <w:t>6．正式的推免生名单由学校报送教育部“推免服务系统”（网址：http://yz.chsi.com.cn/tm）。</w:t>
      </w:r>
    </w:p>
    <w:p>
      <w:r>
        <w:t>7．单位接收阶段，推免生可通过“推免服务系统”查询招生单位信息、填报志愿，接收和确认复试和待录取通知。我校推免生接收工作由研究生院负责。</w:t>
      </w:r>
    </w:p>
    <w:p>
      <w:r>
        <w:t>8．推免生按报考单位要求提交推荐材料，收到接收函后，应及时与学院联系，学院做好相应的统计工作。</w:t>
      </w:r>
    </w:p>
    <w:p>
      <w:r>
        <w:t>六、其他</w:t>
      </w:r>
    </w:p>
    <w:p>
      <w:r>
        <w:t>1．每名学生申请推免资格只能选择一类。</w:t>
      </w:r>
    </w:p>
    <w:p>
      <w:r>
        <w:t>2．学分绩点认定以202 6年9月8日17点截止的教务系统数据为准，其他材料的截止时间为202 6年9月9日。</w:t>
      </w:r>
    </w:p>
    <w:p>
      <w:r>
        <w:t>3．所有材料务必保证真实、准确，各种证书复印件须有学校组织单位的盖章。</w:t>
      </w:r>
    </w:p>
    <w:p>
      <w:r>
        <w:t>4．学院成立专家审核小组（专家组成员应具有相关学科副教授以上职称，不少于5人），对学生的创新能力分和素质拓展分进行审核评价。</w:t>
      </w:r>
    </w:p>
    <w:p>
      <w:r>
        <w:t>5．根据推免综合评价分在专业内的排序，确定拟推荐名单。</w:t>
      </w:r>
    </w:p>
    <w:p>
      <w:r>
        <w:t>6．在确定拟推荐名单时，对于得分相同的情况，将根据相关学生的学习能力分、创新能力分和素质拓展分进行排序确定录取顺序。如果三项得分全部相同，则由专家审核小组确定排序。若推荐名额有增加，则根据名额递补，不另行组织面试。</w:t>
      </w:r>
    </w:p>
    <w:p>
      <w:r>
        <w:t>7．遵守回避制度，推免相关工作人员有直系亲属或利益相关人员报名参加推免的应主动申请回避，有非直系亲属等报名参加推免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r>
        <w:t>8．请获得推免资格的学生做好学业规划、珍惜推免名额，签订推免诚信承诺书并履行相关承诺，不得放弃推免资格。</w:t>
      </w:r>
    </w:p>
    <w:p>
      <w:r>
        <w:t>9．为避免研究生入学资格审查时发生问题，推免生在报名后至研究生入学前不得更改本人姓名、身份证号、学籍信息等。</w:t>
      </w:r>
    </w:p>
    <w:p>
      <w:r>
        <w:t>10．本通知相关规定及要求，只适用202 7届本科毕业生推荐免试硕士研究生工作。</w:t>
      </w:r>
    </w:p>
    <w:p>
      <w:r>
        <w:t>本细则的解释权归能源与动力学院。</w:t>
      </w:r>
    </w:p>
    <w:p>
      <w:r>
        <w:t>工作组联系电话：0 25- 84892064、84895909</w:t>
      </w:r>
    </w:p>
    <w:p>
      <w:r>
        <w:t>工作监督电话：0 25- 84891213</w:t>
      </w:r>
    </w:p>
    <w:p>
      <w:r>
        <w:t>附件一：能源与动力学院202 7届本科毕业生推荐免试硕士研究生工作时间安排</w:t>
      </w:r>
    </w:p>
    <w:p>
      <w:r>
        <w:t>附件二：南京航空航天大学能源与动力学院推荐免试攻读硕士学位研究生综合成绩评定表</w:t>
      </w:r>
    </w:p>
    <w:p>
      <w:r>
        <w:t>能源与动力学院</w:t>
      </w:r>
    </w:p>
    <w:p>
      <w:r>
        <w:t>二〇二六年九月八日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