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数学学院2027届本科毕业生推荐免试攻读研究生工作实施细则</w:t>
      </w:r>
    </w:p>
    <w:p>
      <w:r>
        <w:t>为公平、公正、公开做好202 7届本科毕业生推荐免试攻读研究生工作，根据《南京航空航天大学关于做好202 7届本科毕业生推荐免试攻读研究生工作的通知》（校教字〔202 6〕34号）（以下简称“《通知》”）及有关文件和会议精神，结合学院实际，特制定以下工作细则。</w:t>
      </w:r>
    </w:p>
    <w:p>
      <w:r>
        <w:t>一、组织领导</w:t>
      </w:r>
    </w:p>
    <w:p>
      <w:r>
        <w:t>按《通知》的规定和要求，成立推免生遴选工作小组，成员如下：</w:t>
      </w:r>
    </w:p>
    <w:p>
      <w:r>
        <w:t>组长：王春武</w:t>
      </w:r>
    </w:p>
    <w:p>
      <w:r>
        <w:t>副组长：蒋建林、徐江、王亚鹏</w:t>
      </w:r>
    </w:p>
    <w:p>
      <w:r>
        <w:t>成员：王正盛、吴健、周良强、龚荣芳、蒋辉、陈陆陆</w:t>
      </w:r>
    </w:p>
    <w:p>
      <w:r>
        <w:t>秘书：刘思佳、常琳</w:t>
      </w:r>
    </w:p>
    <w:p>
      <w:r>
        <w:t>推免生遴选工作小组负责数学学院202 7届本科毕业生的推免工作，包括分配推免名额，制定推免排名规则，审核被推荐人选条件，审批推免学生名单等。</w:t>
      </w:r>
    </w:p>
    <w:p>
      <w:r>
        <w:t>按《通知》规定和要求，成立推免工作监督小组，成员如下：</w:t>
      </w:r>
    </w:p>
    <w:p>
      <w:r>
        <w:t>组长：张跃</w:t>
      </w:r>
    </w:p>
    <w:p>
      <w:r>
        <w:t>副组长：龚跃政、曹峰、潘茂东</w:t>
      </w:r>
    </w:p>
    <w:p>
      <w:r>
        <w:t>组员：康怡宁、张琦、尹晨、郭雨珍、陈鹏</w:t>
      </w:r>
    </w:p>
    <w:p>
      <w:r>
        <w:t>推免工作监督小组按照《通知》相关规定，全程监督学院推免工作的所有阶段。</w:t>
      </w:r>
    </w:p>
    <w:p>
      <w:r>
        <w:t>二、推荐条件</w:t>
      </w:r>
    </w:p>
    <w:p>
      <w:r>
        <w:t>推免工作坚持以德为先，德智体美劳全面衡量的原则。推免的学生应综合</w:t>
      </w:r>
    </w:p>
    <w:p>
      <w:r>
        <w:t>素质优良，拥护中国共产党的领导，愿为社会主义现代化建设服务，品德良好，遵纪守法，学习成绩优良，身心健康。同时应满足《通知》中“四、推荐条件”的要求。现将推荐条件的有关具体事项明确如下：</w:t>
      </w:r>
    </w:p>
    <w:p>
      <w:r>
        <w:t>1．应届毕业年级学生，系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（1）学习能力分主要依据必修课平均学分绩点，在综合评价分中所占比率不低于70%。</w:t>
      </w:r>
    </w:p>
    <w:p>
      <w:r>
        <w:t>（2）创新能力分主要依据与学业相关学科竞赛奖项、科研论文和创新项目。学生在学科竞赛、科研论文或创新项目有多项加分情况时，原则上每个类别只取其中最高项得分，不重复计分。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（3）素质拓展分评分范围包括各类评优评奖、参军入伍服兵役、到国际组织实习等。</w:t>
      </w:r>
    </w:p>
    <w:p>
      <w:r>
        <w:t>（4）推免综合评价分评分标准由学院制定，报学校审核后公布执行。</w:t>
      </w:r>
    </w:p>
    <w:p>
      <w:r>
        <w:t>三、遴选综合评价指标体系</w:t>
      </w:r>
    </w:p>
    <w:p>
      <w:r>
        <w:t>学院推免生遴选工作小组在考虑专业人数的基础上，重点向国家发展急需人才相关学科倾斜，相关事项说明如下：</w:t>
      </w:r>
    </w:p>
    <w:p>
      <w:r>
        <w:t>（一）申请推免资格，须满足推免基本条件和以下条件之一：</w:t>
      </w:r>
    </w:p>
    <w:p>
      <w:r>
        <w:t>条件1.本硕（博）连读培养且学年考核合格；</w:t>
      </w:r>
    </w:p>
    <w:p>
      <w:r>
        <w:t>条件2.必修课程平均学分绩点原则上在专业排名前3 5 %（不包含本硕连读培养学生进行的专业排名）；</w:t>
      </w:r>
    </w:p>
    <w:p>
      <w:r>
        <w:t>条件3.必修课程平均学分绩点在专业排名前50 %，且本科阶段在Ⅰ级甲等、Ⅰ级乙等竞赛中获得前三等次奖项或在Ⅱ级甲等竞赛（全国赛）中获得前二等次奖项；</w:t>
      </w:r>
    </w:p>
    <w:p>
      <w:r>
        <w:t>Ⅰ级甲等竞赛中获奖团队，团队排名须在前6名；Ⅰ级乙等竞赛中获奖团队，团队排名须在前4名；Ⅱ级甲等竞赛（全国赛）中获奖团队，团队排名须在前3名；</w:t>
      </w:r>
    </w:p>
    <w:p>
      <w:r>
        <w:t>条件4.必修课程平均学分绩点在专业排名前50 %，且本科阶段在核心期刊上以独立作者、第一作者或与指导教师联合发表（限指导教师和学生分别为第一、第二作者）（其他作者中无直系亲属）发表与学业相关且被学院专家审核小组认可的科研论文（包括正式发表、online发表且有DOI号）。</w:t>
      </w:r>
    </w:p>
    <w:p>
      <w:r>
        <w:t>（二）推免名额按照各专业人数比例分配到各专业，推免资格依据推免遴选综合评价分进行专业内排名，在专业内择优授予。符合推免基本条件的学生可对照相应的要求选择其中一类申请。</w:t>
      </w:r>
    </w:p>
    <w:p>
      <w:r>
        <w:t>推免综合评价分=学习能力分+创新能力分+素质拓展分。</w:t>
      </w:r>
    </w:p>
    <w:p>
      <w:r>
        <w:t>推免综合评价分相同的情况下，按以下顺序依次比较，以确定排名先后：学习能力分、创新能力分、前三年必修课程平均学分绩点排序、前三年全部已修课程平均学分绩点排序。</w:t>
      </w:r>
    </w:p>
    <w:p>
      <w:r>
        <w:t>（三）学习能力分</w:t>
      </w:r>
    </w:p>
    <w:p>
      <w:r>
        <w:t>1．符合条件2、3和4的学生学习能力分=必修课程平均学分绩点。</w:t>
      </w:r>
    </w:p>
    <w:p>
      <w:r>
        <w:t>2．符合条件1的学生学习能力分=必修课程平均学分绩点+0.8。</w:t>
      </w:r>
    </w:p>
    <w:p>
      <w:r>
        <w:t>3．必修课程平均学分绩点以教务系统数据为准。</w:t>
      </w:r>
    </w:p>
    <w:p>
      <w:r>
        <w:t>（四）创新能力分</w:t>
      </w:r>
    </w:p>
    <w:p>
      <w:r>
        <w:t>1．创新能力分评分依据包括与学业相关的学科竞赛奖项、科研论文和创新项目。学生在学科竞赛、科研论文或创新项目有多项加分情况时，每个类别取其中最高项得分，不重复计分；用于素质拓展学分替代的活动，不得再用于计分。</w:t>
      </w:r>
    </w:p>
    <w:p>
      <w:r>
        <w:t>2．各学院须成立专家审核小组(专家组成员应具有相关学科副教授以上职称，一般不少于5人)，可会同本研究领域权威专家、相关期刊单位或赛事主办单位等，对申请推免资格学生提交的高水平科研创新成果、论文、竞赛奖项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3．符合条件3的学生创新能力分不高于1.0分，创新能力分评分依据只包括竞赛奖项，评分标准见下表（竞赛等级认定见附件2）：</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Ⅰ级甲等1区</w:t>
            </w:r>
          </w:p>
        </w:tc>
        <w:tc>
          <w:tcPr>
            <w:tcW w:type="dxa" w:w="2160"/>
          </w:tcPr>
          <w:p>
            <w:r>
              <w:t>1.0</w:t>
            </w:r>
          </w:p>
        </w:tc>
        <w:tc>
          <w:tcPr>
            <w:tcW w:type="dxa" w:w="2160"/>
          </w:tcPr>
          <w:p>
            <w:r>
              <w:t>0.85</w:t>
            </w:r>
          </w:p>
        </w:tc>
        <w:tc>
          <w:tcPr>
            <w:tcW w:type="dxa" w:w="2160"/>
          </w:tcPr>
          <w:p>
            <w:r>
              <w:t>0.7</w:t>
            </w:r>
          </w:p>
        </w:tc>
      </w:tr>
      <w:tr>
        <w:tc>
          <w:tcPr>
            <w:tcW w:type="dxa" w:w="2160"/>
          </w:tcPr>
          <w:p>
            <w:r>
              <w:t>Ⅰ级甲等2区</w:t>
            </w:r>
          </w:p>
        </w:tc>
        <w:tc>
          <w:tcPr>
            <w:tcW w:type="dxa" w:w="2160"/>
          </w:tcPr>
          <w:p>
            <w:r>
              <w:t>0.8</w:t>
            </w:r>
          </w:p>
        </w:tc>
        <w:tc>
          <w:tcPr>
            <w:tcW w:type="dxa" w:w="2160"/>
          </w:tcPr>
          <w:p>
            <w:r>
              <w:t>0.65</w:t>
            </w:r>
          </w:p>
        </w:tc>
        <w:tc>
          <w:tcPr>
            <w:tcW w:type="dxa" w:w="2160"/>
          </w:tcPr>
          <w:p>
            <w:r>
              <w:t>0.5</w:t>
            </w:r>
          </w:p>
        </w:tc>
      </w:tr>
      <w:tr>
        <w:tc>
          <w:tcPr>
            <w:tcW w:type="dxa" w:w="2160"/>
          </w:tcPr>
          <w:p>
            <w:r>
              <w:t>Ⅰ级乙等1区</w:t>
            </w:r>
          </w:p>
        </w:tc>
        <w:tc>
          <w:tcPr>
            <w:tcW w:type="dxa" w:w="2160"/>
          </w:tcPr>
          <w:p>
            <w:r>
              <w:t>0.85</w:t>
            </w:r>
          </w:p>
        </w:tc>
        <w:tc>
          <w:tcPr>
            <w:tcW w:type="dxa" w:w="2160"/>
          </w:tcPr>
          <w:p>
            <w:r>
              <w:t>0.7</w:t>
            </w:r>
          </w:p>
        </w:tc>
        <w:tc>
          <w:tcPr>
            <w:tcW w:type="dxa" w:w="2160"/>
          </w:tcPr>
          <w:p>
            <w:r>
              <w:t>0.55</w:t>
            </w:r>
          </w:p>
        </w:tc>
      </w:tr>
      <w:tr>
        <w:tc>
          <w:tcPr>
            <w:tcW w:type="dxa" w:w="2160"/>
          </w:tcPr>
          <w:p>
            <w:r>
              <w:t>Ⅰ级乙等2区</w:t>
            </w:r>
          </w:p>
        </w:tc>
        <w:tc>
          <w:tcPr>
            <w:tcW w:type="dxa" w:w="2160"/>
          </w:tcPr>
          <w:p>
            <w:r>
              <w:t>0.6</w:t>
            </w:r>
          </w:p>
        </w:tc>
        <w:tc>
          <w:tcPr>
            <w:tcW w:type="dxa" w:w="2160"/>
          </w:tcPr>
          <w:p>
            <w:r>
              <w:t>0.45</w:t>
            </w:r>
          </w:p>
        </w:tc>
        <w:tc>
          <w:tcPr>
            <w:tcW w:type="dxa" w:w="2160"/>
          </w:tcPr>
          <w:p>
            <w:r>
              <w:t>0.3</w:t>
            </w:r>
          </w:p>
        </w:tc>
      </w:tr>
      <w:tr>
        <w:tc>
          <w:tcPr>
            <w:tcW w:type="dxa" w:w="2160"/>
          </w:tcPr>
          <w:p>
            <w:r>
              <w:t>Ⅱ级甲等1区</w:t>
            </w:r>
          </w:p>
        </w:tc>
        <w:tc>
          <w:tcPr>
            <w:tcW w:type="dxa" w:w="2160"/>
          </w:tcPr>
          <w:p>
            <w:r>
              <w:t>0.5</w:t>
            </w:r>
          </w:p>
        </w:tc>
        <w:tc>
          <w:tcPr>
            <w:tcW w:type="dxa" w:w="2160"/>
          </w:tcPr>
          <w:p>
            <w:r>
              <w:t>/</w:t>
            </w:r>
          </w:p>
        </w:tc>
        <w:tc>
          <w:tcPr>
            <w:tcW w:type="dxa" w:w="2160"/>
          </w:tcPr>
          <w:p>
            <w:r>
              <w:t>/</w:t>
            </w:r>
          </w:p>
        </w:tc>
      </w:tr>
    </w:tbl>
    <w:p>
      <w:r>
        <w:t>若以团队参赛的，在上表对应的创新能力分的分值上减去0. 0 5*（团队排名</w:t>
      </w:r>
    </w:p>
    <w:p>
      <w:r>
        <w:t>-1）。</w:t>
      </w:r>
    </w:p>
    <w:p>
      <w:r>
        <w:t>4．符合条件4且论文已见刊（包括正式发表、online发表且有DOI号）的学生，创新能力分评分依据只包括科研论文，创新能力分由学院专家审核小组根据论文质量评定，不高于0.6分。</w:t>
      </w:r>
    </w:p>
    <w:tbl>
      <w:tblPr>
        <w:tblStyle w:val="TableGrid"/>
        <w:tblW w:type="auto" w:w="0"/>
        <w:tblLook w:firstColumn="1" w:firstRow="1" w:lastColumn="0" w:lastRow="0" w:noHBand="0" w:noVBand="1" w:val="04A0"/>
      </w:tblPr>
      <w:tblGrid>
        <w:gridCol w:w="4320"/>
        <w:gridCol w:w="4320"/>
      </w:tblGrid>
      <w:tr>
        <w:tc>
          <w:tcPr>
            <w:tcW w:type="dxa" w:w="4320"/>
          </w:tcPr>
          <w:p>
            <w:r>
              <w:t>期刊类别</w:t>
            </w:r>
          </w:p>
        </w:tc>
        <w:tc>
          <w:tcPr>
            <w:tcW w:type="dxa" w:w="4320"/>
          </w:tcPr>
          <w:p>
            <w:r>
              <w:t>分值</w:t>
            </w:r>
          </w:p>
        </w:tc>
      </w:tr>
      <w:tr>
        <w:tc>
          <w:tcPr>
            <w:tcW w:type="dxa" w:w="4320"/>
          </w:tcPr>
          <w:p>
            <w:r>
              <w:t>T系列期刊</w:t>
            </w:r>
          </w:p>
        </w:tc>
        <w:tc>
          <w:tcPr>
            <w:tcW w:type="dxa" w:w="4320"/>
          </w:tcPr>
          <w:p>
            <w:r>
              <w:t>0.6*T系列期刊权重*作者人数权重</w:t>
            </w:r>
          </w:p>
        </w:tc>
      </w:tr>
      <w:tr>
        <w:tc>
          <w:tcPr>
            <w:tcW w:type="dxa" w:w="4320"/>
          </w:tcPr>
          <w:p>
            <w:r>
              <w:t>T系列外的其它SCI、EI期刊</w:t>
            </w:r>
          </w:p>
        </w:tc>
        <w:tc>
          <w:tcPr>
            <w:tcW w:type="dxa" w:w="4320"/>
          </w:tcPr>
          <w:p>
            <w:r>
              <w:t>0.35*作者人数权重</w:t>
            </w:r>
          </w:p>
        </w:tc>
      </w:tr>
      <w:tr>
        <w:tc>
          <w:tcPr>
            <w:tcW w:type="dxa" w:w="4320"/>
          </w:tcPr>
          <w:p>
            <w:r>
              <w:t>核心期刊</w:t>
            </w:r>
          </w:p>
        </w:tc>
        <w:tc>
          <w:tcPr>
            <w:tcW w:type="dxa" w:w="4320"/>
          </w:tcPr>
          <w:p>
            <w:r>
              <w:t>0.25*作者人数权重</w:t>
            </w:r>
          </w:p>
        </w:tc>
      </w:tr>
    </w:tbl>
    <w:p>
      <w:r>
        <w:t>注：T系列期刊指中国数学会发布的数学科技期刊分级目录内的期刊；核心期刊指学校科研院发布的中国科技核心期刊目录。</w:t>
      </w:r>
    </w:p>
    <w:tbl>
      <w:tblPr>
        <w:tblStyle w:val="TableGrid"/>
        <w:tblW w:type="auto" w:w="0"/>
        <w:tblLook w:firstColumn="1" w:firstRow="1" w:lastColumn="0" w:lastRow="0" w:noHBand="0" w:noVBand="1" w:val="04A0"/>
      </w:tblPr>
      <w:tblGrid>
        <w:gridCol w:w="4320"/>
        <w:gridCol w:w="4320"/>
      </w:tblGrid>
      <w:tr>
        <w:tc>
          <w:tcPr>
            <w:tcW w:type="dxa" w:w="4320"/>
          </w:tcPr>
          <w:p>
            <w:r>
              <w:t>T系列期刊</w:t>
            </w:r>
          </w:p>
        </w:tc>
        <w:tc>
          <w:tcPr>
            <w:tcW w:type="dxa" w:w="4320"/>
          </w:tcPr>
          <w:p>
            <w:r>
              <w:t>权重</w:t>
            </w:r>
          </w:p>
        </w:tc>
      </w:tr>
      <w:tr>
        <w:tc>
          <w:tcPr>
            <w:tcW w:type="dxa" w:w="4320"/>
          </w:tcPr>
          <w:p>
            <w:r>
              <w:t>T1</w:t>
            </w:r>
          </w:p>
        </w:tc>
        <w:tc>
          <w:tcPr>
            <w:tcW w:type="dxa" w:w="4320"/>
          </w:tcPr>
          <w:p>
            <w:r>
              <w:t>1</w:t>
            </w:r>
          </w:p>
        </w:tc>
      </w:tr>
      <w:tr>
        <w:tc>
          <w:tcPr>
            <w:tcW w:type="dxa" w:w="4320"/>
          </w:tcPr>
          <w:p>
            <w:r>
              <w:t>T2</w:t>
            </w:r>
          </w:p>
        </w:tc>
        <w:tc>
          <w:tcPr>
            <w:tcW w:type="dxa" w:w="4320"/>
          </w:tcPr>
          <w:p>
            <w:r>
              <w:t>0.85</w:t>
            </w:r>
          </w:p>
        </w:tc>
      </w:tr>
      <w:tr>
        <w:tc>
          <w:tcPr>
            <w:tcW w:type="dxa" w:w="4320"/>
          </w:tcPr>
          <w:p>
            <w:r>
              <w:t>T3</w:t>
            </w:r>
          </w:p>
        </w:tc>
        <w:tc>
          <w:tcPr>
            <w:tcW w:type="dxa" w:w="4320"/>
          </w:tcPr>
          <w:p>
            <w:r>
              <w:t>0.6</w:t>
            </w:r>
          </w:p>
        </w:tc>
      </w:tr>
    </w:tbl>
    <w:tbl>
      <w:tblPr>
        <w:tblStyle w:val="TableGrid"/>
        <w:tblW w:type="auto" w:w="0"/>
        <w:tblLook w:firstColumn="1" w:firstRow="1" w:lastColumn="0" w:lastRow="0" w:noHBand="0" w:noVBand="1" w:val="04A0"/>
      </w:tblPr>
      <w:tblGrid>
        <w:gridCol w:w="4320"/>
        <w:gridCol w:w="4320"/>
      </w:tblGrid>
      <w:tr>
        <w:tc>
          <w:tcPr>
            <w:tcW w:type="dxa" w:w="4320"/>
          </w:tcPr>
          <w:p>
            <w:r>
              <w:t>作者人数（含导师）</w:t>
            </w:r>
          </w:p>
        </w:tc>
        <w:tc>
          <w:tcPr>
            <w:tcW w:type="dxa" w:w="4320"/>
          </w:tcPr>
          <w:p>
            <w:r>
              <w:t>权重</w:t>
            </w:r>
          </w:p>
        </w:tc>
      </w:tr>
      <w:tr>
        <w:tc>
          <w:tcPr>
            <w:tcW w:type="dxa" w:w="4320"/>
          </w:tcPr>
          <w:p>
            <w:r>
              <w:t>1</w:t>
            </w:r>
          </w:p>
        </w:tc>
        <w:tc>
          <w:tcPr>
            <w:tcW w:type="dxa" w:w="4320"/>
          </w:tcPr>
          <w:p>
            <w:r>
              <w:t>1</w:t>
            </w:r>
          </w:p>
        </w:tc>
      </w:tr>
      <w:tr>
        <w:tc>
          <w:tcPr>
            <w:tcW w:type="dxa" w:w="4320"/>
          </w:tcPr>
          <w:p>
            <w:r>
              <w:t>2</w:t>
            </w:r>
          </w:p>
        </w:tc>
        <w:tc>
          <w:tcPr>
            <w:tcW w:type="dxa" w:w="4320"/>
          </w:tcPr>
          <w:p>
            <w:r>
              <w:t>0.9</w:t>
            </w:r>
          </w:p>
        </w:tc>
      </w:tr>
      <w:tr>
        <w:tc>
          <w:tcPr>
            <w:tcW w:type="dxa" w:w="4320"/>
          </w:tcPr>
          <w:p>
            <w:r>
              <w:t>3及以上</w:t>
            </w:r>
          </w:p>
        </w:tc>
        <w:tc>
          <w:tcPr>
            <w:tcW w:type="dxa" w:w="4320"/>
          </w:tcPr>
          <w:p>
            <w:r>
              <w:t>0.8</w:t>
            </w:r>
          </w:p>
        </w:tc>
      </w:tr>
    </w:tbl>
    <w:p>
      <w:r>
        <w:t>5．符合条件1和2的学生创新能力分不高于0.2分，评分参考范围见下表：</w:t>
      </w:r>
    </w:p>
    <w:p>
      <w:r>
        <w:t>（1）竞赛（竞赛等级认定见附件2）</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Ⅰ级甲等1区</w:t>
            </w:r>
          </w:p>
        </w:tc>
        <w:tc>
          <w:tcPr>
            <w:tcW w:type="dxa" w:w="2160"/>
          </w:tcPr>
          <w:p>
            <w:r>
              <w:t>0.2</w:t>
            </w:r>
          </w:p>
        </w:tc>
        <w:tc>
          <w:tcPr>
            <w:tcW w:type="dxa" w:w="2160"/>
          </w:tcPr>
          <w:p>
            <w:r>
              <w:t>0.16</w:t>
            </w:r>
          </w:p>
        </w:tc>
        <w:tc>
          <w:tcPr>
            <w:tcW w:type="dxa" w:w="2160"/>
          </w:tcPr>
          <w:p>
            <w:r>
              <w:t>0.12</w:t>
            </w:r>
          </w:p>
        </w:tc>
      </w:tr>
      <w:tr>
        <w:tc>
          <w:tcPr>
            <w:tcW w:type="dxa" w:w="2160"/>
          </w:tcPr>
          <w:p>
            <w:r>
              <w:t>Ⅰ级甲等2区</w:t>
            </w:r>
          </w:p>
        </w:tc>
        <w:tc>
          <w:tcPr>
            <w:tcW w:type="dxa" w:w="2160"/>
          </w:tcPr>
          <w:p>
            <w:r>
              <w:t>0.16</w:t>
            </w:r>
          </w:p>
        </w:tc>
        <w:tc>
          <w:tcPr>
            <w:tcW w:type="dxa" w:w="2160"/>
          </w:tcPr>
          <w:p>
            <w:r>
              <w:t>0.128</w:t>
            </w:r>
          </w:p>
        </w:tc>
        <w:tc>
          <w:tcPr>
            <w:tcW w:type="dxa" w:w="2160"/>
          </w:tcPr>
          <w:p>
            <w:r>
              <w:t>0.096</w:t>
            </w:r>
          </w:p>
        </w:tc>
      </w:tr>
      <w:tr>
        <w:tc>
          <w:tcPr>
            <w:tcW w:type="dxa" w:w="2160"/>
          </w:tcPr>
          <w:p>
            <w:r>
              <w:t>Ⅰ级乙等1区</w:t>
            </w:r>
          </w:p>
        </w:tc>
        <w:tc>
          <w:tcPr>
            <w:tcW w:type="dxa" w:w="2160"/>
          </w:tcPr>
          <w:p>
            <w:r>
              <w:t>0.18</w:t>
            </w:r>
          </w:p>
        </w:tc>
        <w:tc>
          <w:tcPr>
            <w:tcW w:type="dxa" w:w="2160"/>
          </w:tcPr>
          <w:p>
            <w:r>
              <w:t>0.144</w:t>
            </w:r>
          </w:p>
        </w:tc>
        <w:tc>
          <w:tcPr>
            <w:tcW w:type="dxa" w:w="2160"/>
          </w:tcPr>
          <w:p>
            <w:r>
              <w:t>0.108</w:t>
            </w:r>
          </w:p>
        </w:tc>
      </w:tr>
      <w:tr>
        <w:tc>
          <w:tcPr>
            <w:tcW w:type="dxa" w:w="2160"/>
          </w:tcPr>
          <w:p>
            <w:r>
              <w:t>Ⅰ级乙等2区</w:t>
            </w:r>
          </w:p>
        </w:tc>
        <w:tc>
          <w:tcPr>
            <w:tcW w:type="dxa" w:w="2160"/>
          </w:tcPr>
          <w:p>
            <w:r>
              <w:t>0.12</w:t>
            </w:r>
          </w:p>
        </w:tc>
        <w:tc>
          <w:tcPr>
            <w:tcW w:type="dxa" w:w="2160"/>
          </w:tcPr>
          <w:p>
            <w:r>
              <w:t>0.096</w:t>
            </w:r>
          </w:p>
        </w:tc>
        <w:tc>
          <w:tcPr>
            <w:tcW w:type="dxa" w:w="2160"/>
          </w:tcPr>
          <w:p>
            <w:r>
              <w:t>0.072</w:t>
            </w:r>
          </w:p>
        </w:tc>
      </w:tr>
      <w:tr>
        <w:tc>
          <w:tcPr>
            <w:tcW w:type="dxa" w:w="2160"/>
          </w:tcPr>
          <w:p>
            <w:r>
              <w:t>Ⅱ级甲等1区</w:t>
            </w:r>
          </w:p>
        </w:tc>
        <w:tc>
          <w:tcPr>
            <w:tcW w:type="dxa" w:w="2160"/>
          </w:tcPr>
          <w:p>
            <w:r>
              <w:t>0.1</w:t>
            </w:r>
          </w:p>
        </w:tc>
        <w:tc>
          <w:tcPr>
            <w:tcW w:type="dxa" w:w="2160"/>
          </w:tcPr>
          <w:p>
            <w:r>
              <w:t>0.08</w:t>
            </w:r>
          </w:p>
        </w:tc>
        <w:tc>
          <w:tcPr>
            <w:tcW w:type="dxa" w:w="2160"/>
          </w:tcPr>
          <w:p>
            <w:r>
              <w:t>0.06</w:t>
            </w:r>
          </w:p>
        </w:tc>
      </w:tr>
      <w:tr>
        <w:tc>
          <w:tcPr>
            <w:tcW w:type="dxa" w:w="2160"/>
          </w:tcPr>
          <w:p>
            <w:r>
              <w:t>Ⅱ级甲等2区</w:t>
            </w:r>
          </w:p>
        </w:tc>
        <w:tc>
          <w:tcPr>
            <w:tcW w:type="dxa" w:w="2160"/>
          </w:tcPr>
          <w:p>
            <w:r>
              <w:t>0.08</w:t>
            </w:r>
          </w:p>
        </w:tc>
        <w:tc>
          <w:tcPr>
            <w:tcW w:type="dxa" w:w="2160"/>
          </w:tcPr>
          <w:p>
            <w:r>
              <w:t>0.064</w:t>
            </w:r>
          </w:p>
        </w:tc>
        <w:tc>
          <w:tcPr>
            <w:tcW w:type="dxa" w:w="2160"/>
          </w:tcPr>
          <w:p>
            <w:r>
              <w:t>0.048</w:t>
            </w:r>
          </w:p>
        </w:tc>
      </w:tr>
    </w:tbl>
    <w:p>
      <w:r>
        <w:t>若以团队参赛的，得分为上表对应的创新能力分的分值*（1-0.1*（团队排名-1））。</w:t>
      </w:r>
    </w:p>
    <w:p>
      <w:r>
        <w:t>（2）创新项目(包括创新训练计划项目、自由探索计划项目、工程实践计划项目、本科生学术论坛）</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级别</w:t>
            </w:r>
          </w:p>
        </w:tc>
        <w:tc>
          <w:tcPr>
            <w:tcW w:type="dxa" w:w="2160"/>
          </w:tcPr>
          <w:p>
            <w:r>
              <w:t>分值</w:t>
            </w:r>
          </w:p>
        </w:tc>
        <w:tc>
          <w:tcPr>
            <w:tcW w:type="dxa" w:w="2160"/>
          </w:tcPr>
          <w:p>
            <w:r>
              <w:t>权重</w:t>
            </w:r>
          </w:p>
        </w:tc>
        <w:tc>
          <w:tcPr>
            <w:tcW w:type="dxa" w:w="2160"/>
          </w:tcPr>
          <w:p/>
        </w:tc>
      </w:tr>
      <w:tr>
        <w:tc>
          <w:tcPr>
            <w:tcW w:type="dxa" w:w="2160"/>
          </w:tcPr>
          <w:p>
            <w:r>
              <w:t>优秀结题</w:t>
            </w:r>
          </w:p>
        </w:tc>
        <w:tc>
          <w:tcPr>
            <w:tcW w:type="dxa" w:w="2160"/>
          </w:tcPr>
          <w:p>
            <w:r>
              <w:t>结题</w:t>
            </w:r>
          </w:p>
        </w:tc>
        <w:tc>
          <w:tcPr>
            <w:tcW w:type="dxa" w:w="2160"/>
          </w:tcPr>
          <w:p/>
        </w:tc>
        <w:tc>
          <w:tcPr>
            <w:tcW w:type="dxa" w:w="2160"/>
          </w:tcPr>
          <w:p/>
        </w:tc>
      </w:tr>
      <w:tr>
        <w:tc>
          <w:tcPr>
            <w:tcW w:type="dxa" w:w="2160"/>
          </w:tcPr>
          <w:p>
            <w:r>
              <w:t>国家级</w:t>
            </w:r>
          </w:p>
        </w:tc>
        <w:tc>
          <w:tcPr>
            <w:tcW w:type="dxa" w:w="2160"/>
          </w:tcPr>
          <w:p>
            <w:r>
              <w:t>0.1</w:t>
            </w:r>
          </w:p>
        </w:tc>
        <w:tc>
          <w:tcPr>
            <w:tcW w:type="dxa" w:w="2160"/>
          </w:tcPr>
          <w:p>
            <w:r>
              <w:t>0.05</w:t>
            </w:r>
          </w:p>
        </w:tc>
        <w:tc>
          <w:tcPr>
            <w:tcW w:type="dxa" w:w="2160"/>
          </w:tcPr>
          <w:p>
            <w:r>
              <w:t>结题证书中工作量占比</w:t>
            </w:r>
          </w:p>
        </w:tc>
      </w:tr>
      <w:tr>
        <w:tc>
          <w:tcPr>
            <w:tcW w:type="dxa" w:w="2160"/>
          </w:tcPr>
          <w:p>
            <w:r>
              <w:t>省级</w:t>
            </w:r>
          </w:p>
        </w:tc>
        <w:tc>
          <w:tcPr>
            <w:tcW w:type="dxa" w:w="2160"/>
          </w:tcPr>
          <w:p>
            <w:r>
              <w:t>0.08</w:t>
            </w:r>
          </w:p>
        </w:tc>
        <w:tc>
          <w:tcPr>
            <w:tcW w:type="dxa" w:w="2160"/>
          </w:tcPr>
          <w:p>
            <w:r>
              <w:t>0.04</w:t>
            </w:r>
          </w:p>
        </w:tc>
        <w:tc>
          <w:tcPr>
            <w:tcW w:type="dxa" w:w="2160"/>
          </w:tcPr>
          <w:p/>
        </w:tc>
      </w:tr>
      <w:tr>
        <w:tc>
          <w:tcPr>
            <w:tcW w:type="dxa" w:w="2160"/>
          </w:tcPr>
          <w:p>
            <w:r>
              <w:t>校级</w:t>
            </w:r>
          </w:p>
        </w:tc>
        <w:tc>
          <w:tcPr>
            <w:tcW w:type="dxa" w:w="2160"/>
          </w:tcPr>
          <w:p>
            <w:r>
              <w:t>0.06</w:t>
            </w:r>
          </w:p>
        </w:tc>
        <w:tc>
          <w:tcPr>
            <w:tcW w:type="dxa" w:w="2160"/>
          </w:tcPr>
          <w:p>
            <w:r>
              <w:t>0.03</w:t>
            </w:r>
          </w:p>
        </w:tc>
        <w:tc>
          <w:tcPr>
            <w:tcW w:type="dxa" w:w="2160"/>
          </w:tcPr>
          <w:p/>
        </w:tc>
      </w:tr>
      <w:tr>
        <w:tc>
          <w:tcPr>
            <w:tcW w:type="dxa" w:w="2160"/>
          </w:tcPr>
          <w:p>
            <w:r>
              <w:t>院级</w:t>
            </w:r>
          </w:p>
        </w:tc>
        <w:tc>
          <w:tcPr>
            <w:tcW w:type="dxa" w:w="2160"/>
          </w:tcPr>
          <w:p>
            <w:r>
              <w:t>0.04</w:t>
            </w:r>
          </w:p>
        </w:tc>
        <w:tc>
          <w:tcPr>
            <w:tcW w:type="dxa" w:w="2160"/>
          </w:tcPr>
          <w:p>
            <w:r>
              <w:t>0.02</w:t>
            </w:r>
          </w:p>
        </w:tc>
        <w:tc>
          <w:tcPr>
            <w:tcW w:type="dxa" w:w="2160"/>
          </w:tcPr>
          <w:p/>
        </w:tc>
      </w:tr>
    </w:tbl>
    <w:p>
      <w:r>
        <w:t>6．申请推免资格学生的科研创新成果、论文、竞赛获奖奖项及内容进行审核鉴定过程中，可根据审核鉴定需要在一定范围内组织公开答辩。</w:t>
      </w:r>
    </w:p>
    <w:p>
      <w:r>
        <w:t>（五）素质拓展分</w:t>
      </w:r>
    </w:p>
    <w:p>
      <w:r>
        <w:t>素质拓展分原则上不高于0.26分。评分依据包括各类评优评奖、参军入伍服兵役、到国际组织实习等，此项加分取其中最高项得分，不重复计分。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所获荣誉</w:t>
            </w:r>
          </w:p>
        </w:tc>
        <w:tc>
          <w:tcPr>
            <w:tcW w:type="dxa" w:w="2880"/>
          </w:tcPr>
          <w:p>
            <w:r>
              <w:t>分值</w:t>
            </w:r>
          </w:p>
        </w:tc>
      </w:tr>
      <w:tr>
        <w:tc>
          <w:tcPr>
            <w:tcW w:type="dxa" w:w="2880"/>
          </w:tcPr>
          <w:p>
            <w:r>
              <w:t>各类评优评奖</w:t>
            </w:r>
          </w:p>
        </w:tc>
        <w:tc>
          <w:tcPr>
            <w:tcW w:type="dxa" w:w="2880"/>
          </w:tcPr>
          <w:p>
            <w:r>
              <w:t>获全国优秀共青团员、全国大学生年度人物（含提名）、全国大学生自强之星（含提名）、全国社会实践先进个人、江苏省大学生年度人物（含提名）</w:t>
            </w:r>
          </w:p>
        </w:tc>
        <w:tc>
          <w:tcPr>
            <w:tcW w:type="dxa" w:w="2880"/>
          </w:tcPr>
          <w:p>
            <w:r>
              <w:t>0.15</w:t>
            </w:r>
          </w:p>
        </w:tc>
      </w:tr>
      <w:tr>
        <w:tc>
          <w:tcPr>
            <w:tcW w:type="dxa" w:w="2880"/>
          </w:tcPr>
          <w:p>
            <w:r>
              <w:t>获江苏省三好学生、江苏省优秀学生干部、江苏省十佳团支书、江苏省优秀共青团员、江苏省社会实践先进个人、校长特别嘉奖、校十大杰出青年荣誉</w:t>
            </w:r>
          </w:p>
        </w:tc>
        <w:tc>
          <w:tcPr>
            <w:tcW w:type="dxa" w:w="2880"/>
          </w:tcPr>
          <w:p>
            <w:r>
              <w:t>0.08</w:t>
            </w:r>
          </w:p>
        </w:tc>
        <w:tc>
          <w:tcPr>
            <w:tcW w:type="dxa" w:w="2880"/>
          </w:tcPr>
          <w:p/>
        </w:tc>
      </w:tr>
      <w:tr>
        <w:tc>
          <w:tcPr>
            <w:tcW w:type="dxa" w:w="2880"/>
          </w:tcPr>
          <w:p>
            <w:r>
              <w:t>获校三好学生标兵、年度特别嘉奖、校百佳青年、校十佳志愿者荣誉</w:t>
            </w:r>
          </w:p>
        </w:tc>
        <w:tc>
          <w:tcPr>
            <w:tcW w:type="dxa" w:w="2880"/>
          </w:tcPr>
          <w:p>
            <w:r>
              <w:t>0.04</w:t>
            </w:r>
          </w:p>
        </w:tc>
        <w:tc>
          <w:tcPr>
            <w:tcW w:type="dxa" w:w="2880"/>
          </w:tcPr>
          <w:p/>
        </w:tc>
      </w:tr>
      <w:tr>
        <w:tc>
          <w:tcPr>
            <w:tcW w:type="dxa" w:w="2880"/>
          </w:tcPr>
          <w:p>
            <w:r>
              <w:t>两次及以上获得校级荣誉(包括三好学生、优秀团员、优秀学生干部、优秀团干部、优秀志愿者、社会实践先进个人)</w:t>
            </w:r>
          </w:p>
        </w:tc>
        <w:tc>
          <w:tcPr>
            <w:tcW w:type="dxa" w:w="2880"/>
          </w:tcPr>
          <w:p>
            <w:r>
              <w:t>0.02</w:t>
            </w:r>
          </w:p>
        </w:tc>
        <w:tc>
          <w:tcPr>
            <w:tcW w:type="dxa" w:w="2880"/>
          </w:tcPr>
          <w:p/>
        </w:tc>
      </w:tr>
      <w:tr>
        <w:tc>
          <w:tcPr>
            <w:tcW w:type="dxa" w:w="2880"/>
          </w:tcPr>
          <w:p>
            <w:r>
              <w:t>参军入伍服兵役</w:t>
            </w:r>
          </w:p>
        </w:tc>
        <w:tc>
          <w:tcPr>
            <w:tcW w:type="dxa" w:w="2880"/>
          </w:tcPr>
          <w:p>
            <w:r>
              <w:t>受团以上嘉奖</w:t>
            </w:r>
          </w:p>
        </w:tc>
        <w:tc>
          <w:tcPr>
            <w:tcW w:type="dxa" w:w="2880"/>
          </w:tcPr>
          <w:p>
            <w:r>
              <w:t>0.08</w:t>
            </w:r>
          </w:p>
        </w:tc>
      </w:tr>
      <w:tr>
        <w:tc>
          <w:tcPr>
            <w:tcW w:type="dxa" w:w="2880"/>
          </w:tcPr>
          <w:p>
            <w:r>
              <w:t>普通入伍</w:t>
            </w:r>
          </w:p>
        </w:tc>
        <w:tc>
          <w:tcPr>
            <w:tcW w:type="dxa" w:w="2880"/>
          </w:tcPr>
          <w:p>
            <w:r>
              <w:t>0.04</w:t>
            </w:r>
          </w:p>
        </w:tc>
        <w:tc>
          <w:tcPr>
            <w:tcW w:type="dxa" w:w="2880"/>
          </w:tcPr>
          <w:p/>
        </w:tc>
      </w:tr>
      <w:tr>
        <w:tc>
          <w:tcPr>
            <w:tcW w:type="dxa" w:w="2880"/>
          </w:tcPr>
          <w:p>
            <w:r>
              <w:t>到国际组织实习</w:t>
            </w:r>
          </w:p>
        </w:tc>
        <w:tc>
          <w:tcPr>
            <w:tcW w:type="dxa" w:w="2880"/>
          </w:tcPr>
          <w:p>
            <w:r>
              <w:t>0.03</w:t>
            </w:r>
          </w:p>
        </w:tc>
        <w:tc>
          <w:tcPr>
            <w:tcW w:type="dxa" w:w="2880"/>
          </w:tcPr>
          <w:p/>
        </w:tc>
      </w:tr>
    </w:tbl>
    <w:p>
      <w:r>
        <w:t>（六）“支教专项”推免名额单列，单独申报，由学校组织专门评审。“支教专项”公示后，入选者不得参加其他推免类别。鼓励专业综合素质高的学生申请研究生支教专项计划（简称“支教专项”）推免，为欠发达地区的教育事业发展做贡献。</w:t>
      </w:r>
    </w:p>
    <w:p>
      <w:r>
        <w:t>（七）鼓励符合推免条件的学生申报直博生，特别是国家发展急需人才的数学学科直博生。“支教专项”推免生不能申请我校直博生。</w:t>
      </w:r>
    </w:p>
    <w:p>
      <w:r>
        <w:t>四、工作部署和时间安排</w:t>
      </w:r>
    </w:p>
    <w:p>
      <w:r>
        <w:t>1．202 6年9月7日，成立数学学院202 7届推荐免试攻读研究生遴选工作小组，召开会议，确定推荐免试研究生工作实施细则，并于9月8日17点前报教务处。学院组织进行动员、宣讲公布有关政策。</w:t>
      </w:r>
    </w:p>
    <w:p>
      <w:r>
        <w:t>2．202 6年9月10日12点前，符合条件的学生自愿申请，填写《免试攻读学位研究生申请表》等相关表格，提交年级辅导员，逾期提交材料，默认自动放弃，学院将不再受理，后果由学生自己承担。</w:t>
      </w:r>
    </w:p>
    <w:p>
      <w:r>
        <w:t>3．202 6年9月13日12点前，学院推免生遴选工作小组审核材料后，排出名次，推免生遴选工作小组秘书将学院拟推荐以及候补学生名单上报教务处，并予以公示。</w:t>
      </w:r>
    </w:p>
    <w:p>
      <w:r>
        <w:t>五、注意事项</w:t>
      </w:r>
    </w:p>
    <w:p>
      <w:r>
        <w:t>1.推免过程中，如果有自愿放弃保研的同学，必须提交一份书面的承诺书。</w:t>
      </w:r>
    </w:p>
    <w:p>
      <w:r>
        <w:t>2.学生必须承诺提交材料的真实性，一旦发现弄虚作假行为，本人承担由此造成的一切后果。</w:t>
      </w:r>
    </w:p>
    <w:p>
      <w:r>
        <w:t>3.已获得推免资格的学生，不得放弃推免资格，应与学院签订推免诚信承诺书并履行相关承诺、不得参加应届毕业生的就业派遣。学校不出具与就业、报考研究生、自费出国等有关的材料。</w:t>
      </w:r>
    </w:p>
    <w:p>
      <w:r>
        <w:t>4.为避免研究生入学资格审查时发生问题，推免生在报名后至研究生入学前不得更改本人姓名、身份证号、学籍信息等。</w:t>
      </w:r>
    </w:p>
    <w:p>
      <w:r>
        <w:t>5.推免生应再接再厉，认真学习，努力提高自身的综合素质和创新能力。</w:t>
      </w:r>
    </w:p>
    <w:p>
      <w:r>
        <w:t>6.本细则相关规定及要求，只适用数学学院2027届本科毕业生推荐免试研究生工作。</w:t>
      </w:r>
    </w:p>
    <w:p>
      <w:r>
        <w:t>7.本细则未尽事宜，参照《通知》相关规定执行。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