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南京师范大学本科生创新创业实践成果和学分认定办法</w:t>
      </w:r>
    </w:p>
    <w:p>
      <w:r>
        <w:t>深化创新创业教育改革是学校“十三五”期间工作的重要内容，是推动我校教育综合改革的重要抓手。为了配合《南京师范大学本科人才培养方案》（2016年版）的实施，激发广大师生投身创新创业教育和实践的积极性，协同推进创新创业实践活动，推动我校创新创业教育迈上新台阶，特制定本办法。0 1创新创业实践成果级别认定竞赛依据竞赛的主办单位、知名度和影响力等因素，考虑竞赛的行业背景和高校参与情况，根据竞赛的目的、形式和内容，将竞赛分为以下三类：一类：主要包括国家部委、国家部委下属的司局、国家部委管理的局、全国性的一级专业学会（协会）、教育部高等学校教学指导委员会、国际权威机构等举办的重要的全国性、国际性竞赛。有世界著名高校或“双一流”高校参赛、竞赛规模大、历史长，具有很强的学术权威性和业内认可度，且在国内外具有很大影响力。二类：主要包括国家部委、国家部委下属的司局、国家部委管理的局、全国性的一级专业学会（协会）、教育部高等学校教学指导委员会等举办的竞赛；重要的一类竞赛的省级赛、分区赛等。竞赛规模较大、历史较长，具有较强的学术权威性和业内认可度，且在国内外具有较大影响力。三类：主要包括国家部委下属的司局、国家部委管理的局、全国性和省级专业学会、行业协会、教育部高等学校教学指导委员会、省级教育主管部门等举办的全国性竞赛或省级竞赛。竞赛举办时间较短，参赛学生学科专业较为单一、规模较小。一、二、三类竞赛项目分级目录见《南京师范大学本科人才培养方案细则》。创新创业训练将创新创业训练项目分为以下三类：一类为国家级大学生创新创业训练计划项目；二类为省级大学生创新创业训练计划项目；三类为校级大学生创新创业训练计划项目、社会实践类项目、学生科学基金项目、竞赛培育项目等。一、二、三类训练项目分级目录见《南京师范大学本科人才培养方案细则》。发表论文、文学艺术作品将发表论文或文学艺术作品分为以下三类：一类：SCI、SSCI、A﹠HCI收录论文；人文社科类一级权威期刊论文；在专业一级权威期刊上公开发表的文学艺术作品（含译文）。二类：理工科权威期刊论文；SCIE、EI源期刊论文（不包括会议论文和中文版高校学报论文）；人文社科类二级权威期刊论文；在专业二级权威期刊上公开发表的文学艺术作品（含译文）。三类：核心期刊论文；在专业核心期刊上公开发表的文学艺术作品（含译文）。一、二、三类发表论文或文学艺术作品按照国内权威机构和学校公布的目录认定，分级目录见《南京师范大学本科人才培养方案细则》。专利将专利分为以下三类：一类是国外PCT授权专利、国内授权发明专利，二类是软件著作权，三类为实用新型专利。0 2创新创业实践学分认定各类创新创业实践活动按照下列表格规定分类认定学分。创新创业实践学分于第7学期一次性认定。学生自主申报、填写《南京师范大学创新创业实践学分认定申报表》，经学院初审、教务处审核后，按照累计学分分别认定为以下课程的学分：创新创业实践I（1学分）、创新创业实践II（2学分）、创新创业实践III（3学分）、创新创业实践IV（4学分）。这些课程列入自主发展课程，课程成绩认定为五级制中的“良好”等级。学分累计、认定原则：每位学生创新创业实践认定学分累计不超过4学分，累计后的学分取整认定。同一项目实践活动只认定最高学分、不重复认定学分。竞赛学分创新创业训练学分发表论文或文学艺术作品、专利学分0 3附则（一）本办法中的创新创业实践成果是指学生在校学习期间所取得的、以南京师范大学为第一署名单位的成果。（二）未列入分级目录的创新创业实践成果经学校本科教学指导委员会审核认定后可补充到该目录中。（三）本办法由教务处负责解释。（四）本办法自发布之日起施行。南京师范大学创新创业实践活动和成果分级目录编辑丨运营部季家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