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柔性电子（未来技术）学院2027年推荐优秀应届本科毕业生免试攻读研究生工作实施细则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硕士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以及柔性电子学专业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根据学校的统筹安排，我院今年可推荐11名应届本科毕业生免试攻读硕士研究生，并且可按应届毕业生人数的0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柔性电子学</w:t>
            </w:r>
          </w:p>
        </w:tc>
        <w:tc>
          <w:tcPr>
            <w:tcW w:type="dxa" w:w="2160"/>
          </w:tcPr>
          <w:p>
            <w:r>
              <w:t>72</w:t>
            </w:r>
          </w:p>
        </w:tc>
        <w:tc>
          <w:tcPr>
            <w:tcW w:type="dxa" w:w="2160"/>
          </w:tcPr>
          <w:p>
            <w:r>
              <w:t>11</w:t>
            </w:r>
          </w:p>
        </w:tc>
        <w:tc>
          <w:tcPr>
            <w:tcW w:type="dxa" w:w="2160"/>
          </w:tcPr>
          <w:p>
            <w:r>
              <w:t>0</w:t>
            </w: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采用相关课程的首次成绩作为学业成绩依据。</w:t>
      </w:r>
    </w:p>
    <w:p>
      <w:r>
        <w:t>5.全国大学英语四级考试425分及以上，或托福72分及以上，或雅思5.5分及以上。如以小语种课程替代英语课程，则须参加全国小语种四级考试且成绩合格，或日语能力等级测试（JLPT）N3及以上等级。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综合评价成绩=学业成绩×80 %+全面发展成绩×20 %</w:t>
      </w:r>
    </w:p>
    <w:p>
      <w:r>
        <w:t>如综合评价成绩相等，依据学业成绩进行排序；若学业成绩也相等，则以科研创新成果加分值进行排序；若学业成绩和科研创新成果加分值均相同，则以原始成绩加权值进行排序。最终学院根据推荐名额按照总成绩从高到低排序，择优录取。</w:t>
      </w:r>
    </w:p>
    <w:p>
      <w:r>
        <w:t>1）学业成绩按“平均学分绩点×2 5 ”折算为百分制分数。</w:t>
      </w:r>
    </w:p>
    <w:p>
      <w:r>
        <w:t>四年制本科使用前三年必修课程平均绩点作为学业成绩的计算基础。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全面发展成绩=参军入伍服兵役加分×10 % +志愿服务加分×10 % +国际组织实习加分× 5% +科研创新成果加分×40 % +竞赛获奖加分×35 %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①所有立功受奖需提供部队相关部门颁发的奖励证书等证明材料。②按最高项记，不累加。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详见附件3《关于2027年学校推免工作志愿服务赋分及认定的指导意见（试行）》</w:t>
            </w:r>
          </w:p>
        </w:tc>
        <w:tc>
          <w:tcPr>
            <w:tcW w:type="dxa" w:w="1440"/>
          </w:tcPr>
          <w:p/>
        </w:tc>
        <w:tc>
          <w:tcPr>
            <w:tcW w:type="dxa" w:w="1440"/>
          </w:tcPr>
          <w:p/>
        </w:tc>
        <w:tc>
          <w:tcPr>
            <w:tcW w:type="dxa" w:w="1440"/>
          </w:tcPr>
          <w:p/>
        </w:tc>
      </w:tr>
      <w:tr>
        <w:tc>
          <w:tcPr>
            <w:tcW w:type="dxa" w:w="1440"/>
          </w:tcPr>
          <w:p>
            <w:r>
              <w:t>到国际组织实习</w:t>
            </w:r>
          </w:p>
        </w:tc>
        <w:tc>
          <w:tcPr>
            <w:tcW w:type="dxa" w:w="1440"/>
          </w:tcPr>
          <w:p>
            <w:r>
              <w:t>5 %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提供实习经历认定和表彰证明材料</w:t>
            </w:r>
          </w:p>
        </w:tc>
        <w:tc>
          <w:tcPr>
            <w:tcW w:type="dxa" w:w="1440"/>
          </w:tcPr>
          <w:p>
            <w:r>
              <w:t>100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40%</w:t>
            </w:r>
          </w:p>
        </w:tc>
        <w:tc>
          <w:tcPr>
            <w:tcW w:type="dxa" w:w="1440"/>
          </w:tcPr>
          <w:p>
            <w:r>
              <w:t>SCI一区论文</w:t>
            </w:r>
          </w:p>
        </w:tc>
        <w:tc>
          <w:tcPr>
            <w:tcW w:type="dxa" w:w="1440"/>
          </w:tcPr>
          <w:p>
            <w:r>
              <w:t>①独立作者或排名第一：获全额分值②指导老师排名第一、学生排名第二：获全额分值*50% ③提供证明材料</w:t>
            </w:r>
          </w:p>
        </w:tc>
        <w:tc>
          <w:tcPr>
            <w:tcW w:type="dxa" w:w="1440"/>
          </w:tcPr>
          <w:p>
            <w:r>
              <w:t>100</w:t>
            </w:r>
          </w:p>
        </w:tc>
        <w:tc>
          <w:tcPr>
            <w:tcW w:type="dxa" w:w="1440"/>
          </w:tcPr>
          <w:p>
            <w:r>
              <w:t>①论文分区以中科院分区为准。以正式见刊或录用通知为准。②成果署名第一单位必须是南京工业大学③学生与其亲属及其他利益相关者合作的科研成果，不纳入加分指标认定范围④科研创新成果的审核鉴定及未分区新期刊认定由学院推免生遴选专家审核小组负责。申请人须参加公开答辩，审核鉴定结果须公开公示。⑤按最高项记，不累加。</w:t>
            </w:r>
          </w:p>
        </w:tc>
      </w:tr>
      <w:tr>
        <w:tc>
          <w:tcPr>
            <w:tcW w:type="dxa" w:w="1440"/>
          </w:tcPr>
          <w:p>
            <w:r>
              <w:t>SCI二区论文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未分区新期刊论文</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35%</w:t>
            </w:r>
          </w:p>
        </w:tc>
        <w:tc>
          <w:tcPr>
            <w:tcW w:type="dxa" w:w="1440"/>
          </w:tcPr>
          <w:p>
            <w:r>
              <w:t>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获奖完成人按照获奖人员排序倒数进行赋分（例：排序第一：分值*1 00%，排序第二：分值*1 /2，排序第三：分值*1 /3……）;若竞赛官方网站、获奖证书、赛事文件或其他官方正式说明中明确该奖项不区分完成人排名先后，则各获奖完成人按同等分值予以计分。④全国三等奖以上奖项可加分。⑤按最高项记，不累加。</w:t>
            </w:r>
          </w:p>
        </w:tc>
      </w:tr>
      <w:tr>
        <w:tc>
          <w:tcPr>
            <w:tcW w:type="dxa" w:w="1440"/>
          </w:tcPr>
          <w:p>
            <w:r>
              <w:t>次一等次</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7 0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7 0</w:t>
            </w:r>
          </w:p>
        </w:tc>
        <w:tc>
          <w:tcPr>
            <w:tcW w:type="dxa" w:w="1440"/>
          </w:tcPr>
          <w:p/>
        </w:tc>
        <w:tc>
          <w:tcPr>
            <w:tcW w:type="dxa" w:w="1440"/>
          </w:tcPr>
          <w:p/>
        </w:tc>
        <w:tc>
          <w:tcPr>
            <w:tcW w:type="dxa" w:w="1440"/>
          </w:tcPr>
          <w:p/>
        </w:tc>
      </w:tr>
      <w:tr>
        <w:tc>
          <w:tcPr>
            <w:tcW w:type="dxa" w:w="1440"/>
          </w:tcPr>
          <w:p>
            <w:r>
              <w:t>次一等次</w:t>
            </w:r>
          </w:p>
        </w:tc>
        <w:tc>
          <w:tcPr>
            <w:tcW w:type="dxa" w:w="1440"/>
          </w:tcPr>
          <w:p>
            <w:r>
              <w:t>6 0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5 0</w:t>
            </w:r>
          </w:p>
        </w:tc>
        <w:tc>
          <w:tcPr>
            <w:tcW w:type="dxa" w:w="1440"/>
          </w:tcPr>
          <w:p/>
        </w:tc>
        <w:tc>
          <w:tcPr>
            <w:tcW w:type="dxa" w:w="1440"/>
          </w:tcPr>
          <w:p/>
        </w:tc>
        <w:tc>
          <w:tcPr>
            <w:tcW w:type="dxa" w:w="1440"/>
          </w:tcPr>
          <w:p/>
        </w:tc>
      </w:tr>
      <w:tr>
        <w:tc>
          <w:tcPr>
            <w:tcW w:type="dxa" w:w="1440"/>
          </w:tcPr>
          <w:p>
            <w:r>
              <w:t>次一等次</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3 0</w:t>
            </w:r>
          </w:p>
        </w:tc>
        <w:tc>
          <w:tcPr>
            <w:tcW w:type="dxa" w:w="1440"/>
          </w:tcPr>
          <w:p/>
        </w:tc>
        <w:tc>
          <w:tcPr>
            <w:tcW w:type="dxa" w:w="1440"/>
          </w:tcPr>
          <w:p/>
        </w:tc>
        <w:tc>
          <w:tcPr>
            <w:tcW w:type="dxa" w:w="1440"/>
          </w:tcPr>
          <w:p/>
        </w:tc>
      </w:tr>
      <w:tr>
        <w:tc>
          <w:tcPr>
            <w:tcW w:type="dxa" w:w="1440"/>
          </w:tcPr>
          <w:p>
            <w:r>
              <w:t>次一等次</w:t>
            </w:r>
          </w:p>
        </w:tc>
        <w:tc>
          <w:tcPr>
            <w:tcW w:type="dxa" w:w="1440"/>
          </w:tcPr>
          <w:p>
            <w:r>
              <w:t>2 0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1 0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2.本方案与上级管理部门政策文件有冲突的，以上级管理部门政策为准。其他未尽事宜，由学院推免工作小组商议、报教务处审定后处理。</w:t>
      </w:r>
    </w:p>
    <w:p>
      <w:r>
        <w:t>3.本实施细则由柔性电子（未来技术）学院推免工作小组负责解释。</w:t>
      </w:r>
    </w:p>
    <w:p>
      <w:r>
        <w:t>4.学院推免工作接受师生监督，如对推免工作有疑义、意见或建议，请及时向院推免工作小组反映。</w:t>
      </w:r>
    </w:p>
    <w:p>
      <w:r>
        <w:t>学院：025-83587982，iam ljyang @njtech.edu.cn</w:t>
      </w:r>
    </w:p>
    <w:p>
      <w:r>
        <w:t>附件：1 .推荐免试研究生资格申请表</w:t>
      </w:r>
    </w:p>
    <w:p>
      <w:r>
        <w:t>2.推荐免试研究生思想政治品德考核表</w:t>
      </w:r>
    </w:p>
    <w:p>
      <w:r>
        <w:t>3.关于2027年学校推免工作志愿服务赋分及认定的</w:t>
      </w:r>
    </w:p>
    <w:p>
      <w:r>
        <w:t>指导意见</w:t>
      </w:r>
    </w:p>
    <w:p>
      <w:r>
        <w:t>柔性电子（未来技术）学院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