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数理科学学院2024年推荐优秀应届本科毕业生免试攻读硕士学位研究生办法</w:t>
      </w:r>
    </w:p>
    <w:p>
      <w:r>
        <w:t>依据校研究生院公布的《关于做好2024年推荐优秀应届本科毕业生免试攻读研究生工作的通知》精神和具体要求，结合我院情况，制定数理科学学院2024年推荐优秀应届本科毕业生免试攻读硕士学位研究生办法如下。</w:t>
      </w:r>
    </w:p>
    <w:p>
      <w:r>
        <w:t>一、全面发展综合成绩打分细则</w:t>
      </w:r>
    </w:p>
    <w:p>
      <w:r>
        <w:t>全面发展综合成绩由参军入伍服兵役、参加志愿服务、到国际组织实习、科研成果、竞赛获奖五项指标构成。五项指标的打分细则和权重如下：</w:t>
      </w:r>
    </w:p>
    <w:p>
      <w:r>
        <w:t>（一）参军入伍服兵役（权重20%）</w:t>
      </w:r>
    </w:p>
    <w:p>
      <w:r>
        <w:t>在校期间参军入伍服兵役并完成服役者，计100分，需提供相关证明。</w:t>
      </w:r>
    </w:p>
    <w:p>
      <w:r>
        <w:t>（二）参加志愿服务（权重20%）</w:t>
      </w:r>
    </w:p>
    <w:p>
      <w:r>
        <w:t>在校期间参加国家级志愿服务，得分情况分别为：志愿服务时长100小时及以上计100分，志愿服务时长80 — 99小时计80分，志愿服务时长60 — 79小时计60分，志愿服务时长40 — 59小时计40分，志愿服务时长20 — 39小时计20分，志愿服务时长19小时及以下计10分。需提供志愿服务证书，以证书上的公章为准。</w:t>
      </w:r>
    </w:p>
    <w:p>
      <w:r>
        <w:t>（三）到国际组织实习（权重20%）</w:t>
      </w:r>
    </w:p>
    <w:p>
      <w:r>
        <w:t>凡参加单次时长超过3个月（含）的国际组织实习，计100分，需提供相关证明。</w:t>
      </w:r>
    </w:p>
    <w:p>
      <w:r>
        <w:t>（四）科研成果（权重20%）</w:t>
      </w:r>
    </w:p>
    <w:p>
      <w:r>
        <w:t>科研成果计分一览表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检索刊物</w:t>
            </w:r>
          </w:p>
        </w:tc>
        <w:tc>
          <w:tcPr>
            <w:tcW w:type="dxa" w:w="1728"/>
          </w:tcPr>
          <w:p>
            <w:r>
              <w:t>1区</w:t>
            </w:r>
          </w:p>
        </w:tc>
        <w:tc>
          <w:tcPr>
            <w:tcW w:type="dxa" w:w="1728"/>
          </w:tcPr>
          <w:p>
            <w:r>
              <w:t>2区</w:t>
            </w:r>
          </w:p>
        </w:tc>
        <w:tc>
          <w:tcPr>
            <w:tcW w:type="dxa" w:w="1728"/>
          </w:tcPr>
          <w:p>
            <w:r>
              <w:t>3区</w:t>
            </w:r>
          </w:p>
        </w:tc>
        <w:tc>
          <w:tcPr>
            <w:tcW w:type="dxa" w:w="1728"/>
          </w:tcPr>
          <w:p>
            <w:r>
              <w:t>4区</w:t>
            </w:r>
          </w:p>
        </w:tc>
      </w:tr>
      <w:tr>
        <w:tc>
          <w:tcPr>
            <w:tcW w:type="dxa" w:w="1728"/>
          </w:tcPr>
          <w:p>
            <w:r>
              <w:t>SCI</w:t>
            </w:r>
          </w:p>
        </w:tc>
        <w:tc>
          <w:tcPr>
            <w:tcW w:type="dxa" w:w="1728"/>
          </w:tcPr>
          <w:p>
            <w:r>
              <w:t>100</w:t>
            </w:r>
          </w:p>
        </w:tc>
        <w:tc>
          <w:tcPr>
            <w:tcW w:type="dxa" w:w="1728"/>
          </w:tcPr>
          <w:p>
            <w:r>
              <w:t>80</w:t>
            </w:r>
          </w:p>
        </w:tc>
        <w:tc>
          <w:tcPr>
            <w:tcW w:type="dxa" w:w="1728"/>
          </w:tcPr>
          <w:p>
            <w:r>
              <w:t>60</w:t>
            </w:r>
          </w:p>
        </w:tc>
        <w:tc>
          <w:tcPr>
            <w:tcW w:type="dxa" w:w="1728"/>
          </w:tcPr>
          <w:p>
            <w:r>
              <w:t>40</w:t>
            </w:r>
          </w:p>
        </w:tc>
      </w:tr>
      <w:tr>
        <w:tc>
          <w:tcPr>
            <w:tcW w:type="dxa" w:w="1728"/>
          </w:tcPr>
          <w:p>
            <w:r>
              <w:t>EI</w:t>
            </w:r>
          </w:p>
        </w:tc>
        <w:tc>
          <w:tcPr>
            <w:tcW w:type="dxa" w:w="1728"/>
          </w:tcPr>
          <w:p>
            <w:r>
              <w:t>40</w:t>
            </w:r>
          </w:p>
        </w:tc>
        <w:tc>
          <w:tcPr>
            <w:tcW w:type="dxa" w:w="1728"/>
          </w:tcPr>
          <w:p/>
        </w:tc>
        <w:tc>
          <w:tcPr>
            <w:tcW w:type="dxa" w:w="1728"/>
          </w:tcPr>
          <w:p/>
        </w:tc>
        <w:tc>
          <w:tcPr>
            <w:tcW w:type="dxa" w:w="1728"/>
          </w:tcPr>
          <w:p/>
        </w:tc>
      </w:tr>
      <w:tr>
        <w:tc>
          <w:tcPr>
            <w:tcW w:type="dxa" w:w="1728"/>
          </w:tcPr>
          <w:p>
            <w:r>
              <w:t>核心</w:t>
            </w:r>
          </w:p>
        </w:tc>
        <w:tc>
          <w:tcPr>
            <w:tcW w:type="dxa" w:w="1728"/>
          </w:tcPr>
          <w:p>
            <w:r>
              <w:t>20</w:t>
            </w:r>
          </w:p>
        </w:tc>
        <w:tc>
          <w:tcPr>
            <w:tcW w:type="dxa" w:w="1728"/>
          </w:tcPr>
          <w:p/>
        </w:tc>
        <w:tc>
          <w:tcPr>
            <w:tcW w:type="dxa" w:w="1728"/>
          </w:tcPr>
          <w:p/>
        </w:tc>
        <w:tc>
          <w:tcPr>
            <w:tcW w:type="dxa" w:w="1728"/>
          </w:tcPr>
          <w:p/>
        </w:tc>
      </w:tr>
      <w:tr>
        <w:tc>
          <w:tcPr>
            <w:tcW w:type="dxa" w:w="1728"/>
          </w:tcPr>
          <w:p>
            <w:r>
              <w:t>发明专利</w:t>
            </w:r>
          </w:p>
        </w:tc>
        <w:tc>
          <w:tcPr>
            <w:tcW w:type="dxa" w:w="1728"/>
          </w:tcPr>
          <w:p>
            <w:r>
              <w:t>授权60分、申请公开30分</w:t>
            </w:r>
          </w:p>
        </w:tc>
        <w:tc>
          <w:tcPr>
            <w:tcW w:type="dxa" w:w="1728"/>
          </w:tcPr>
          <w:p/>
        </w:tc>
        <w:tc>
          <w:tcPr>
            <w:tcW w:type="dxa" w:w="1728"/>
          </w:tcPr>
          <w:p/>
        </w:tc>
        <w:tc>
          <w:tcPr>
            <w:tcW w:type="dxa" w:w="1728"/>
          </w:tcPr>
          <w:p/>
        </w:tc>
      </w:tr>
      <w:tr>
        <w:tc>
          <w:tcPr>
            <w:tcW w:type="dxa" w:w="1728"/>
          </w:tcPr>
          <w:p>
            <w:r>
              <w:t>实用新型专利</w:t>
            </w:r>
          </w:p>
        </w:tc>
        <w:tc>
          <w:tcPr>
            <w:tcW w:type="dxa" w:w="1728"/>
          </w:tcPr>
          <w:p>
            <w:r>
              <w:t>授权20分、申请公开10分</w:t>
            </w:r>
          </w:p>
        </w:tc>
        <w:tc>
          <w:tcPr>
            <w:tcW w:type="dxa" w:w="1728"/>
          </w:tcPr>
          <w:p/>
        </w:tc>
        <w:tc>
          <w:tcPr>
            <w:tcW w:type="dxa" w:w="1728"/>
          </w:tcPr>
          <w:p/>
        </w:tc>
        <w:tc>
          <w:tcPr>
            <w:tcW w:type="dxa" w:w="1728"/>
          </w:tcPr>
          <w:p/>
        </w:tc>
      </w:tr>
      <w:tr>
        <w:tc>
          <w:tcPr>
            <w:tcW w:type="dxa" w:w="1728"/>
          </w:tcPr>
          <w:p>
            <w:r>
              <w:t>软件著作权</w:t>
            </w:r>
          </w:p>
        </w:tc>
        <w:tc>
          <w:tcPr>
            <w:tcW w:type="dxa" w:w="1728"/>
          </w:tcPr>
          <w:p>
            <w:r>
              <w:t>授权10分</w:t>
            </w:r>
          </w:p>
        </w:tc>
        <w:tc>
          <w:tcPr>
            <w:tcW w:type="dxa" w:w="1728"/>
          </w:tcPr>
          <w:p/>
        </w:tc>
        <w:tc>
          <w:tcPr>
            <w:tcW w:type="dxa" w:w="1728"/>
          </w:tcPr>
          <w:p/>
        </w:tc>
        <w:tc>
          <w:tcPr>
            <w:tcW w:type="dxa" w:w="1728"/>
          </w:tcPr>
          <w:p/>
        </w:tc>
      </w:tr>
    </w:tbl>
    <w:p>
      <w:r>
        <w:t>注：1、学生为第一作者或独立作者或第一申请人有效；2、SCI分区按中国科学院国家科学图书馆制定的分区（简称中科院分区），EI检索以可查询到论文的EI检索号为准，核心按我校图书馆公布的《中文核心期刊目录总览（2020版）》为准，专利以在专利网查询到相关信息为准；3、有多项加分时只取一项，满分100分。</w:t>
      </w:r>
    </w:p>
    <w:p>
      <w:r>
        <w:t>（五）学科竞赛（权重20%）</w:t>
      </w:r>
    </w:p>
    <w:p>
      <w:r>
        <w:t>学科竞赛分数一览表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级别</w:t>
            </w:r>
          </w:p>
        </w:tc>
        <w:tc>
          <w:tcPr>
            <w:tcW w:type="dxa" w:w="2160"/>
          </w:tcPr>
          <w:p>
            <w:r>
              <w:t>特等奖</w:t>
            </w:r>
          </w:p>
        </w:tc>
        <w:tc>
          <w:tcPr>
            <w:tcW w:type="dxa" w:w="2160"/>
          </w:tcPr>
          <w:p>
            <w:r>
              <w:t>一等奖</w:t>
            </w:r>
          </w:p>
        </w:tc>
        <w:tc>
          <w:tcPr>
            <w:tcW w:type="dxa" w:w="2160"/>
          </w:tcPr>
          <w:p>
            <w:r>
              <w:t>二等奖</w:t>
            </w:r>
          </w:p>
        </w:tc>
      </w:tr>
      <w:tr>
        <w:tc>
          <w:tcPr>
            <w:tcW w:type="dxa" w:w="2160"/>
          </w:tcPr>
          <w:p>
            <w:r>
              <w:t>国赛A类</w:t>
            </w:r>
          </w:p>
        </w:tc>
        <w:tc>
          <w:tcPr>
            <w:tcW w:type="dxa" w:w="2160"/>
          </w:tcPr>
          <w:p>
            <w:r>
              <w:t>100</w:t>
            </w:r>
          </w:p>
        </w:tc>
        <w:tc>
          <w:tcPr>
            <w:tcW w:type="dxa" w:w="2160"/>
          </w:tcPr>
          <w:p>
            <w:r>
              <w:t>70</w:t>
            </w:r>
          </w:p>
        </w:tc>
        <w:tc>
          <w:tcPr>
            <w:tcW w:type="dxa" w:w="2160"/>
          </w:tcPr>
          <w:p>
            <w:r>
              <w:t>40</w:t>
            </w:r>
          </w:p>
        </w:tc>
      </w:tr>
      <w:tr>
        <w:tc>
          <w:tcPr>
            <w:tcW w:type="dxa" w:w="2160"/>
          </w:tcPr>
          <w:p>
            <w:r>
              <w:t>国赛B类</w:t>
            </w:r>
          </w:p>
        </w:tc>
        <w:tc>
          <w:tcPr>
            <w:tcW w:type="dxa" w:w="2160"/>
          </w:tcPr>
          <w:p>
            <w:r>
              <w:t>各等级奖分值在A类相应等级项上乘系数0.7</w:t>
            </w:r>
          </w:p>
        </w:tc>
        <w:tc>
          <w:tcPr>
            <w:tcW w:type="dxa" w:w="2160"/>
          </w:tcPr>
          <w:p/>
        </w:tc>
        <w:tc>
          <w:tcPr>
            <w:tcW w:type="dxa" w:w="2160"/>
          </w:tcPr>
          <w:p/>
        </w:tc>
      </w:tr>
      <w:tr>
        <w:tc>
          <w:tcPr>
            <w:tcW w:type="dxa" w:w="2160"/>
          </w:tcPr>
          <w:p>
            <w:r>
              <w:t>国赛C类</w:t>
            </w:r>
          </w:p>
        </w:tc>
        <w:tc>
          <w:tcPr>
            <w:tcW w:type="dxa" w:w="2160"/>
          </w:tcPr>
          <w:p>
            <w:r>
              <w:t>各等级奖分值在A类相应等级项上乘系数0.4</w:t>
            </w:r>
          </w:p>
        </w:tc>
        <w:tc>
          <w:tcPr>
            <w:tcW w:type="dxa" w:w="2160"/>
          </w:tcPr>
          <w:p/>
        </w:tc>
        <w:tc>
          <w:tcPr>
            <w:tcW w:type="dxa" w:w="2160"/>
          </w:tcPr>
          <w:p/>
        </w:tc>
      </w:tr>
      <w:tr>
        <w:tc>
          <w:tcPr>
            <w:tcW w:type="dxa" w:w="2160"/>
          </w:tcPr>
          <w:p>
            <w:r>
              <w:t>国赛D类</w:t>
            </w:r>
          </w:p>
        </w:tc>
        <w:tc>
          <w:tcPr>
            <w:tcW w:type="dxa" w:w="2160"/>
          </w:tcPr>
          <w:p>
            <w:r>
              <w:t>各等级奖分值在A类相应等级项上乘系数0.1</w:t>
            </w:r>
          </w:p>
        </w:tc>
        <w:tc>
          <w:tcPr>
            <w:tcW w:type="dxa" w:w="2160"/>
          </w:tcPr>
          <w:p/>
        </w:tc>
        <w:tc>
          <w:tcPr>
            <w:tcW w:type="dxa" w:w="2160"/>
          </w:tcPr>
          <w:p/>
        </w:tc>
      </w:tr>
    </w:tbl>
    <w:p>
      <w:r>
        <w:t>注：1、作为主力成员参赛或个人赛；2、竞赛获奖等级以获奖证书原件核实；3、赛事认定范围参照《南京工业大学大学生学科竞赛和创新创业实践活动管理办法》（南工校教〔2021〕34号）执行；4、有多项加分时只取一项，满分100分。</w:t>
      </w:r>
    </w:p>
    <w:p>
      <w:r>
        <w:t>上述五项指标中，各项指标如有多项加分只取一项，全面发展综合成绩为各项指标分数乘以相应权重后求和得出。</w:t>
      </w:r>
    </w:p>
    <w:p>
      <w:r>
        <w:t>二、推免成绩组成</w:t>
      </w:r>
    </w:p>
    <w:p>
      <w:r>
        <w:t>总成绩=学业成绩* 0.85+综合成绩*0.15。其中，学业成绩以各专业有效申请学生中第一名的学业成绩绩点为分母、各申请学生的绩点为分子，二者的比值乘以100，综合成绩得分依据第一条细则。</w:t>
      </w:r>
    </w:p>
    <w:p>
      <w:r>
        <w:t>学院充分发挥推免政策引导和激励作用，依据学校分配的推免名额，在考虑学科专业均衡发展的基础上进行择优推荐。</w:t>
      </w:r>
    </w:p>
    <w:p>
      <w:r>
        <w:t>三、严格审核认定学生的特殊学术专长</w:t>
      </w:r>
    </w:p>
    <w:p>
      <w:r>
        <w:t>推免生学术专长原则上仅限学生本科阶段在核心期刊上以独立作者或第一作者发表的与学业相关的科研论文；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学生与直系亲属或学历、职称、职务明显高于本人者合作的科研成果、竞赛奖项等仅作为参考，不纳入学生本人推免遴选综合评价成绩计算体系，同等条件下可优先考虑。对于社会质疑较多的赛事、刊物，各学院要从严把握。成立学院专家审核小组，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p>
      <w:r>
        <w:t>四、推免工作回避制度实施细则</w:t>
      </w:r>
    </w:p>
    <w:p>
      <w:r>
        <w:t>（一）推免相关工作人员中，凡与被考核者有直系亲属关系者或利益相关人员，必须回避。</w:t>
      </w:r>
    </w:p>
    <w:p>
      <w:r>
        <w:t>（二）推免相关工作人员有非直系亲属等报名参加推免招生的要主动报备。</w:t>
      </w:r>
    </w:p>
    <w:p>
      <w:r>
        <w:t>五、信息公开及投诉途径等</w:t>
      </w:r>
    </w:p>
    <w:p>
      <w:r>
        <w:t>（一）学院根据学校分配的名额，确定各个专业推免生名额，在学院予以公示（崇德B三楼）；</w:t>
      </w:r>
    </w:p>
    <w:p>
      <w:r>
        <w:t>（二）符合推免条件的学生，在规定时间内向学院提出书面申请，并提供相关证明材料，在学院予以公示（崇德B三楼）；</w:t>
      </w:r>
    </w:p>
    <w:p>
      <w:r>
        <w:t>（三）经学院推免生遴选工作小组组织审查后确定的推荐名单，在学院网站予以公示；</w:t>
      </w:r>
    </w:p>
    <w:p>
      <w:r>
        <w:t>（四）对公示如有异议，请向院、校推荐领导小组、校研究生院、校纪委反映，具体联系方式如下：</w:t>
      </w:r>
    </w:p>
    <w:p>
      <w:r>
        <w:t>数理科学学院电话：025-58139527；</w:t>
      </w:r>
    </w:p>
    <w:p>
      <w:r>
        <w:t>校研究生院电话：025-58139194；Email: yzb@njtech.edu.cn；</w:t>
      </w:r>
    </w:p>
    <w:p>
      <w:r>
        <w:t>校纪委电话：025-58139069；Email: jubao@njtech.edu.cn。</w:t>
      </w:r>
    </w:p>
    <w:p>
      <w:r>
        <w:t>数理科学学院</w:t>
      </w:r>
    </w:p>
    <w:p>
      <w:r>
        <w:t>2023年9月18日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