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南京工业大学建筑学院2023年推荐优秀应届本科毕业生免试攻读硕士学位研究生办法</w:t>
      </w:r>
    </w:p>
    <w:p>
      <w:r>
        <w:t>推荐优秀应届本科毕业生免试攻读研究生（以下简称推免）是研究生多元招生录取机制的重要组成部分，是加强拔尖创新人才选拔，推动高校提高人才培养质量的重要举措，是激励在校本科生勤奋学习、勇于创新、全面发展的有效手段。按照教育部推免工作相关文件和学校相关要求，特制定我院推荐优秀应届本科毕业生免试攻读硕士学位研究生实施办法。</w:t>
      </w:r>
    </w:p>
    <w:p>
      <w:r>
        <w:t>一、综合考核打分细则（15分）</w:t>
      </w:r>
    </w:p>
    <w:p>
      <w:r>
        <w:t>1、参军入伍服兵役（满分3分）</w:t>
      </w:r>
    </w:p>
    <w:p>
      <w:r>
        <w:t>参军入伍服兵役加3分。</w:t>
      </w:r>
    </w:p>
    <w:p>
      <w:r>
        <w:t>2、参加志愿服务、到国际组织实习（满分1分）</w:t>
      </w:r>
    </w:p>
    <w:p>
      <w:r>
        <w:t>积极参与各项志愿服务活动，获省级及以上先进个人、省级先进团队成员表彰得1分，省级以下获得0.5分；参与省级及以上大型赛事活动获优秀志愿者称号得1分，省级以下0.5分；到与专业相关国际组织实习满一个月得1分。</w:t>
      </w:r>
    </w:p>
    <w:p>
      <w:r>
        <w:t>3、科研成果（满分5分）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CSSCI、SSCI、SCI、EI、A＆HCI</w:t>
            </w:r>
          </w:p>
        </w:tc>
        <w:tc>
          <w:tcPr>
            <w:tcW w:type="dxa" w:w="2160"/>
          </w:tcPr>
          <w:p>
            <w:r>
              <w:t>第一署名5分</w:t>
            </w:r>
          </w:p>
        </w:tc>
        <w:tc>
          <w:tcPr>
            <w:tcW w:type="dxa" w:w="2160"/>
          </w:tcPr>
          <w:p/>
        </w:tc>
        <w:tc>
          <w:tcPr>
            <w:tcW w:type="dxa" w:w="2160"/>
          </w:tcPr>
          <w:p/>
        </w:tc>
      </w:tr>
      <w:tr>
        <w:tc>
          <w:tcPr>
            <w:tcW w:type="dxa" w:w="2160"/>
          </w:tcPr>
          <w:p>
            <w:r>
              <w:t>中文核心期刊</w:t>
            </w:r>
          </w:p>
        </w:tc>
        <w:tc>
          <w:tcPr>
            <w:tcW w:type="dxa" w:w="2160"/>
          </w:tcPr>
          <w:p>
            <w:r>
              <w:t>第一署名3分</w:t>
            </w:r>
          </w:p>
        </w:tc>
        <w:tc>
          <w:tcPr>
            <w:tcW w:type="dxa" w:w="2160"/>
          </w:tcPr>
          <w:p/>
        </w:tc>
        <w:tc>
          <w:tcPr>
            <w:tcW w:type="dxa" w:w="2160"/>
          </w:tcPr>
          <w:p/>
        </w:tc>
      </w:tr>
      <w:tr>
        <w:tc>
          <w:tcPr>
            <w:tcW w:type="dxa" w:w="2160"/>
          </w:tcPr>
          <w:p>
            <w:r>
              <w:t>国家发明专利授权</w:t>
            </w:r>
          </w:p>
        </w:tc>
        <w:tc>
          <w:tcPr>
            <w:tcW w:type="dxa" w:w="2160"/>
          </w:tcPr>
          <w:p>
            <w:r>
              <w:t>第一署名5分</w:t>
            </w:r>
          </w:p>
        </w:tc>
        <w:tc>
          <w:tcPr>
            <w:tcW w:type="dxa" w:w="2160"/>
          </w:tcPr>
          <w:p>
            <w:r>
              <w:t>取得实用新型专利授权</w:t>
            </w:r>
          </w:p>
        </w:tc>
        <w:tc>
          <w:tcPr>
            <w:tcW w:type="dxa" w:w="2160"/>
          </w:tcPr>
          <w:p>
            <w:r>
              <w:t>第一署名2分</w:t>
            </w:r>
          </w:p>
        </w:tc>
      </w:tr>
      <w:tr>
        <w:tc>
          <w:tcPr>
            <w:tcW w:type="dxa" w:w="2160"/>
          </w:tcPr>
          <w:p>
            <w:r/>
          </w:p>
        </w:tc>
        <w:tc>
          <w:tcPr>
            <w:tcW w:type="dxa" w:w="2160"/>
          </w:tcPr>
          <w:p>
            <w:r/>
          </w:p>
        </w:tc>
        <w:tc>
          <w:tcPr>
            <w:tcW w:type="dxa" w:w="2160"/>
          </w:tcPr>
          <w:p>
            <w:r/>
          </w:p>
        </w:tc>
        <w:tc>
          <w:tcPr>
            <w:tcW w:type="dxa" w:w="2160"/>
          </w:tcPr>
          <w:p>
            <w:r/>
          </w:p>
        </w:tc>
      </w:tr>
    </w:tbl>
    <w:p>
      <w:r>
        <w:t>说明：①唯一署名等同于第一署名，期刊收录目录以发表当年为准；</w:t>
      </w:r>
    </w:p>
    <w:p>
      <w:r>
        <w:t>②论文和专利成果必须和所学专业相关；</w:t>
      </w:r>
    </w:p>
    <w:p>
      <w:r>
        <w:t>③论文和专利必须以南京工业大学为第一署名单位；</w:t>
      </w:r>
    </w:p>
    <w:p>
      <w:r>
        <w:t>4、竞赛获奖（满分6分）</w:t>
      </w:r>
    </w:p>
    <w:p>
      <w:r>
        <w:t>（1）专业类竞赛（满分6分）</w:t>
      </w:r>
    </w:p>
    <w:tbl>
      <w:tblPr>
        <w:tblStyle w:val="TableGrid"/>
        <w:tblW w:type="auto" w:w="0"/>
        <w:tblLook w:firstColumn="1" w:firstRow="1" w:lastColumn="0" w:lastRow="0" w:noHBand="0" w:noVBand="1" w:val="04A0"/>
      </w:tblPr>
      <w:tblGrid>
        <w:gridCol w:w="2880"/>
        <w:gridCol w:w="2880"/>
        <w:gridCol w:w="2880"/>
      </w:tblGrid>
      <w:tr>
        <w:tc>
          <w:tcPr>
            <w:tcW w:type="dxa" w:w="2880"/>
          </w:tcPr>
          <w:p>
            <w:r>
              <w:t>获奖等级及种类</w:t>
            </w:r>
          </w:p>
        </w:tc>
        <w:tc>
          <w:tcPr>
            <w:tcW w:type="dxa" w:w="2880"/>
          </w:tcPr>
          <w:p>
            <w:r>
              <w:t>国际级</w:t>
            </w:r>
          </w:p>
        </w:tc>
        <w:tc>
          <w:tcPr>
            <w:tcW w:type="dxa" w:w="2880"/>
          </w:tcPr>
          <w:p>
            <w:r>
              <w:t>国家级</w:t>
            </w:r>
          </w:p>
        </w:tc>
      </w:tr>
      <w:tr>
        <w:tc>
          <w:tcPr>
            <w:tcW w:type="dxa" w:w="2880"/>
          </w:tcPr>
          <w:p>
            <w:r>
              <w:t>A类一等奖（第1名）</w:t>
            </w:r>
          </w:p>
        </w:tc>
        <w:tc>
          <w:tcPr>
            <w:tcW w:type="dxa" w:w="2880"/>
          </w:tcPr>
          <w:p>
            <w:r>
              <w:t>6分</w:t>
            </w:r>
          </w:p>
        </w:tc>
        <w:tc>
          <w:tcPr>
            <w:tcW w:type="dxa" w:w="2880"/>
          </w:tcPr>
          <w:p>
            <w:r>
              <w:t>6分</w:t>
            </w:r>
          </w:p>
        </w:tc>
      </w:tr>
      <w:tr>
        <w:tc>
          <w:tcPr>
            <w:tcW w:type="dxa" w:w="2880"/>
          </w:tcPr>
          <w:p>
            <w:r>
              <w:t>A类二等奖（第2-3名）</w:t>
            </w:r>
          </w:p>
        </w:tc>
        <w:tc>
          <w:tcPr>
            <w:tcW w:type="dxa" w:w="2880"/>
          </w:tcPr>
          <w:p>
            <w:r>
              <w:t>5分</w:t>
            </w:r>
          </w:p>
        </w:tc>
        <w:tc>
          <w:tcPr>
            <w:tcW w:type="dxa" w:w="2880"/>
          </w:tcPr>
          <w:p>
            <w:r>
              <w:t>5分</w:t>
            </w:r>
          </w:p>
        </w:tc>
      </w:tr>
      <w:tr>
        <w:tc>
          <w:tcPr>
            <w:tcW w:type="dxa" w:w="2880"/>
          </w:tcPr>
          <w:p>
            <w:r>
              <w:t>B类一等奖（第1名）</w:t>
            </w:r>
          </w:p>
        </w:tc>
        <w:tc>
          <w:tcPr>
            <w:tcW w:type="dxa" w:w="2880"/>
          </w:tcPr>
          <w:p>
            <w:r>
              <w:t>5分</w:t>
            </w:r>
          </w:p>
        </w:tc>
        <w:tc>
          <w:tcPr>
            <w:tcW w:type="dxa" w:w="2880"/>
          </w:tcPr>
          <w:p>
            <w:r>
              <w:t>5分</w:t>
            </w:r>
          </w:p>
        </w:tc>
      </w:tr>
      <w:tr>
        <w:tc>
          <w:tcPr>
            <w:tcW w:type="dxa" w:w="2880"/>
          </w:tcPr>
          <w:p>
            <w:r>
              <w:t>B类二等奖（第2-3名）</w:t>
            </w:r>
          </w:p>
        </w:tc>
        <w:tc>
          <w:tcPr>
            <w:tcW w:type="dxa" w:w="2880"/>
          </w:tcPr>
          <w:p>
            <w:r>
              <w:t>4分</w:t>
            </w:r>
          </w:p>
        </w:tc>
        <w:tc>
          <w:tcPr>
            <w:tcW w:type="dxa" w:w="2880"/>
          </w:tcPr>
          <w:p>
            <w:r>
              <w:t>4分</w:t>
            </w:r>
          </w:p>
        </w:tc>
      </w:tr>
      <w:tr>
        <w:tc>
          <w:tcPr>
            <w:tcW w:type="dxa" w:w="2880"/>
          </w:tcPr>
          <w:p>
            <w:r>
              <w:t>C类一等奖（第1名）</w:t>
            </w:r>
          </w:p>
        </w:tc>
        <w:tc>
          <w:tcPr>
            <w:tcW w:type="dxa" w:w="2880"/>
          </w:tcPr>
          <w:p>
            <w:r>
              <w:t>4分</w:t>
            </w:r>
          </w:p>
        </w:tc>
        <w:tc>
          <w:tcPr>
            <w:tcW w:type="dxa" w:w="2880"/>
          </w:tcPr>
          <w:p>
            <w:r>
              <w:t>4分</w:t>
            </w:r>
          </w:p>
        </w:tc>
      </w:tr>
      <w:tr>
        <w:tc>
          <w:tcPr>
            <w:tcW w:type="dxa" w:w="2880"/>
          </w:tcPr>
          <w:p>
            <w:r>
              <w:t>C类二等奖（第2-3名）</w:t>
            </w:r>
          </w:p>
        </w:tc>
        <w:tc>
          <w:tcPr>
            <w:tcW w:type="dxa" w:w="2880"/>
          </w:tcPr>
          <w:p>
            <w:r>
              <w:t>3分</w:t>
            </w:r>
          </w:p>
        </w:tc>
        <w:tc>
          <w:tcPr>
            <w:tcW w:type="dxa" w:w="2880"/>
          </w:tcPr>
          <w:p>
            <w:r>
              <w:t>3分</w:t>
            </w:r>
          </w:p>
        </w:tc>
      </w:tr>
      <w:tr>
        <w:tc>
          <w:tcPr>
            <w:tcW w:type="dxa" w:w="2880"/>
          </w:tcPr>
          <w:p>
            <w:r>
              <w:t>D类一等奖（第1名）</w:t>
            </w:r>
          </w:p>
        </w:tc>
        <w:tc>
          <w:tcPr>
            <w:tcW w:type="dxa" w:w="2880"/>
          </w:tcPr>
          <w:p>
            <w:r>
              <w:t>3分</w:t>
            </w:r>
          </w:p>
        </w:tc>
        <w:tc>
          <w:tcPr>
            <w:tcW w:type="dxa" w:w="2880"/>
          </w:tcPr>
          <w:p>
            <w:r>
              <w:t>3分</w:t>
            </w:r>
          </w:p>
        </w:tc>
      </w:tr>
      <w:tr>
        <w:tc>
          <w:tcPr>
            <w:tcW w:type="dxa" w:w="2880"/>
          </w:tcPr>
          <w:p>
            <w:r>
              <w:t>D类二等奖（第2-3名）</w:t>
            </w:r>
          </w:p>
        </w:tc>
        <w:tc>
          <w:tcPr>
            <w:tcW w:type="dxa" w:w="2880"/>
          </w:tcPr>
          <w:p>
            <w:r>
              <w:t>2分</w:t>
            </w:r>
          </w:p>
        </w:tc>
        <w:tc>
          <w:tcPr>
            <w:tcW w:type="dxa" w:w="2880"/>
          </w:tcPr>
          <w:p>
            <w:r>
              <w:t>2分</w:t>
            </w:r>
          </w:p>
        </w:tc>
      </w:tr>
    </w:tbl>
    <w:p>
      <w:r>
        <w:t>注：①国际级竞赛活动指联合国教科文组织或其他国际学术团体组织的世界性大学生竞赛活动，具体等级由学校教务处认定；</w:t>
      </w:r>
    </w:p>
    <w:p>
      <w:r>
        <w:t>②中国“互联网+ ”大学生创新创业大赛、“挑战杯”全国大学生课外学术科技作品竞赛为国家A类竞赛活动；</w:t>
      </w:r>
    </w:p>
    <w:p>
      <w:r>
        <w:t>③除中国“互联网+ ”大学生创新创业大赛、“挑战杯”全国大学生课外学术科技作品竞赛以外，其他纳入《全国普通高校学科竞赛排行榜》的竞赛项目，以及美国大学生数学建模竞赛、全国大学生艺术展演活动、iGEM世界遗传基因工程机器大赛、中国研究生创新实践系列大赛定为国家B类竞赛活动；</w:t>
      </w:r>
    </w:p>
    <w:p>
      <w:r>
        <w:t>④其他竞赛活动经学校的认定办法列为国家C类、国家D类以及省级竞赛A、B、C类；</w:t>
      </w:r>
    </w:p>
    <w:p>
      <w:r>
        <w:t>（2）学习文体素质类竞赛（满分4分）</w:t>
      </w:r>
    </w:p>
    <w:tbl>
      <w:tblPr>
        <w:tblStyle w:val="TableGrid"/>
        <w:tblW w:type="auto" w:w="0"/>
        <w:tblLook w:firstColumn="1" w:firstRow="1" w:lastColumn="0" w:lastRow="0" w:noHBand="0" w:noVBand="1" w:val="04A0"/>
      </w:tblPr>
      <w:tblGrid>
        <w:gridCol w:w="2880"/>
        <w:gridCol w:w="2880"/>
        <w:gridCol w:w="2880"/>
      </w:tblGrid>
      <w:tr>
        <w:tc>
          <w:tcPr>
            <w:tcW w:type="dxa" w:w="2880"/>
          </w:tcPr>
          <w:p>
            <w:r>
              <w:t>获奖等级及种类</w:t>
            </w:r>
          </w:p>
        </w:tc>
        <w:tc>
          <w:tcPr>
            <w:tcW w:type="dxa" w:w="2880"/>
          </w:tcPr>
          <w:p>
            <w:r>
              <w:t>国际级</w:t>
            </w:r>
          </w:p>
        </w:tc>
        <w:tc>
          <w:tcPr>
            <w:tcW w:type="dxa" w:w="2880"/>
          </w:tcPr>
          <w:p>
            <w:r>
              <w:t>国家级</w:t>
            </w:r>
          </w:p>
        </w:tc>
      </w:tr>
      <w:tr>
        <w:tc>
          <w:tcPr>
            <w:tcW w:type="dxa" w:w="2880"/>
          </w:tcPr>
          <w:p>
            <w:r>
              <w:t>一等奖（第1名）</w:t>
            </w:r>
          </w:p>
        </w:tc>
        <w:tc>
          <w:tcPr>
            <w:tcW w:type="dxa" w:w="2880"/>
          </w:tcPr>
          <w:p>
            <w:r>
              <w:t>4分</w:t>
            </w:r>
          </w:p>
        </w:tc>
        <w:tc>
          <w:tcPr>
            <w:tcW w:type="dxa" w:w="2880"/>
          </w:tcPr>
          <w:p>
            <w:r>
              <w:t>3分</w:t>
            </w:r>
          </w:p>
        </w:tc>
      </w:tr>
      <w:tr>
        <w:tc>
          <w:tcPr>
            <w:tcW w:type="dxa" w:w="2880"/>
          </w:tcPr>
          <w:p>
            <w:r>
              <w:t>二等奖（第2-3名）</w:t>
            </w:r>
          </w:p>
        </w:tc>
        <w:tc>
          <w:tcPr>
            <w:tcW w:type="dxa" w:w="2880"/>
          </w:tcPr>
          <w:p>
            <w:r>
              <w:t>3分</w:t>
            </w:r>
          </w:p>
        </w:tc>
        <w:tc>
          <w:tcPr>
            <w:tcW w:type="dxa" w:w="2880"/>
          </w:tcPr>
          <w:p>
            <w:r>
              <w:t>2分</w:t>
            </w:r>
          </w:p>
        </w:tc>
      </w:tr>
    </w:tbl>
    <w:p>
      <w:r>
        <w:t>注：①获奖类别及标准参照《南京工业大学大学生学科竞赛和创新创业实践活动管理办法》；</w:t>
      </w:r>
    </w:p>
    <w:p>
      <w:r>
        <w:t>②专业类同一项目获奖取最高值不累加，不同项目可累加；学习文体素质类竞赛同一类型获奖取最高值不累加。</w:t>
      </w:r>
    </w:p>
    <w:p>
      <w:r>
        <w:t>5、补充说明</w:t>
      </w:r>
    </w:p>
    <w:p>
      <w:r>
        <w:t>①学生在某一方面中有多项加分情况时，原则上只取一项，且不得为仅符合单一或部分遴选指标的学生单列计划或破格推荐；</w:t>
      </w:r>
    </w:p>
    <w:p>
      <w:r>
        <w:t>②竞赛的最高等级奖等同于本办法表中的一等奖，往下以此类推。例如竞赛最高奖为特等奖，次奖为一等奖，则对应本办法表中的一等奖和二等奖。</w:t>
      </w:r>
    </w:p>
    <w:p>
      <w:r>
        <w:t>二、总成绩=课程成绩+综合成绩，总成绩由高到低排序。</w:t>
      </w:r>
    </w:p>
    <w:p>
      <w:r>
        <w:t>1、课程成绩（满分85分）</w:t>
      </w:r>
    </w:p>
    <w:p>
      <w:r>
        <w:t>按学校有关推免文件的通知要求，学习成绩只计算必修课课程，报名资格限定在专业排名35%以内，申报学生的成绩得分按以下公式计算：</w:t>
      </w:r>
    </w:p>
    <w:p>
      <w:r>
        <w:t>说明：</w:t>
      </w:r>
    </w:p>
    <w:p>
      <w:r>
        <w:t>第1名：绩点为a；得分85分</w:t>
      </w:r>
    </w:p>
    <w:p>
      <w:r>
        <w:t>个人得分：绩点为x；得分y分</w:t>
      </w:r>
    </w:p>
    <w:p>
      <w:r>
        <w:t>2、综合成绩（满分15分）</w:t>
      </w:r>
    </w:p>
    <w:p>
      <w:r>
        <w:t>综合成绩=参军入伍服兵役+参加志愿服务、到国际组织实习+科研成果+竞赛获奖。</w:t>
      </w:r>
    </w:p>
    <w:p>
      <w:r>
        <w:t>三、学生特殊学术专长的认定</w:t>
      </w:r>
    </w:p>
    <w:p>
      <w:r>
        <w:t>严格审核认定学生的特殊学术专长。推免生学术专长原则上仅</w:t>
      </w:r>
    </w:p>
    <w:p>
      <w:r>
        <w:t>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各学院要从严把握。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p>
      <w:r>
        <w:t>四、推免工作回避制度实施细则</w:t>
      </w:r>
    </w:p>
    <w:p>
      <w:r>
        <w:t>推免相关工作人员有直系亲属报名参加推免的需回避，有非直系亲属等报名参加推免的需报备。</w:t>
      </w:r>
    </w:p>
    <w:p>
      <w:r>
        <w:t>五、信息公开及投诉途径等</w:t>
      </w:r>
    </w:p>
    <w:p>
      <w:r>
        <w:t>所有推免信息通过学院网站、班级QQ群、通知栏张贴等途径对学生进行公开，并公布学院投诉电话及联系人（58139439王冠中，58139459董晖）。</w:t>
      </w:r>
    </w:p>
    <w:p>
      <w:r>
        <w:t>南京工业大学建筑学院</w:t>
      </w:r>
    </w:p>
    <w:p>
      <w:r>
        <w:t>2022年9月9日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