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城市建设学院2027年推荐优秀应届本科毕业生免试攻读研究生工作实施细则</w:t>
      </w:r>
    </w:p>
    <w:p>
      <w:r>
        <w:t>为加强国家战略急需拔尖创新人才选拔，科学改革学生综合素质评价方式，促进和激励本科生勤奋学习、全面发展，规范、高效地做好学院2027年推荐优秀应届本科毕业生免试攻读研究生相关工作，根据学校《关于做好2027年推荐优秀应届本科毕业生免试攻读研究生工作的通知》（以下简称“2027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8人），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6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14名应届本科毕业生免试攻读硕士研究生，并且可按应届毕业生人数的0.5%（四舍五入）确定候补。学院按专业2027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给排水科学与工程</w:t>
            </w:r>
          </w:p>
        </w:tc>
        <w:tc>
          <w:tcPr>
            <w:tcW w:type="dxa" w:w="2880"/>
          </w:tcPr>
          <w:p>
            <w:r>
              <w:t>7</w:t>
            </w:r>
          </w:p>
        </w:tc>
        <w:tc>
          <w:tcPr>
            <w:tcW w:type="dxa" w:w="2880"/>
          </w:tcPr>
          <w:p>
            <w:r>
              <w:t>1</w:t>
            </w:r>
          </w:p>
        </w:tc>
      </w:tr>
      <w:tr>
        <w:tc>
          <w:tcPr>
            <w:tcW w:type="dxa" w:w="2880"/>
          </w:tcPr>
          <w:p>
            <w:r>
              <w:t>建筑环境与能源应用工程</w:t>
            </w:r>
          </w:p>
        </w:tc>
        <w:tc>
          <w:tcPr>
            <w:tcW w:type="dxa" w:w="2880"/>
          </w:tcPr>
          <w:p>
            <w:r>
              <w:t>7</w:t>
            </w:r>
          </w:p>
        </w:tc>
        <w:tc>
          <w:tcPr>
            <w:tcW w:type="dxa" w:w="2880"/>
          </w:tcPr>
          <w:p/>
        </w:tc>
      </w:tr>
    </w:tbl>
    <w:p>
      <w:r>
        <w:t>三、基本推荐条件</w:t>
      </w:r>
    </w:p>
    <w:p>
      <w:r>
        <w:t>学生同时具备以下1-6条，可申请推免资格：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主修专业培养方案内必修课程成绩无不及格情况。计算绩点时，采用相关课程的首次成绩作为学业成绩依据，分方向培养的专业方向核心课视为必修课。</w:t>
      </w:r>
    </w:p>
    <w:p>
      <w:r>
        <w:t>5.全国大学英语四级考试425分及以上，或托福72分及以上，或雅思5.5分及以上。</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2.全面考察学生的学习成绩与综合素质，按照综合评价成绩择优推荐。</w:t>
      </w:r>
    </w:p>
    <w:p>
      <w:r>
        <w:t>综合评价成绩=学业成绩×85%+全面发展成绩×15%</w:t>
      </w:r>
    </w:p>
    <w:p>
      <w:r>
        <w:t>如综合评价成绩相等，依据学业成绩进行排序；若学业成绩也相等，则以科研创新成果加分值进行排序。最终学院根据推荐名额按照总成绩从高到低排序，择优录取。</w:t>
      </w:r>
    </w:p>
    <w:p>
      <w:r>
        <w:t>1）学业成绩按“平均学分绩点×25”折算为百分制分数。</w:t>
      </w:r>
    </w:p>
    <w:p>
      <w:r>
        <w:t>四年制本科使用前三年必修课程平均绩点作为学业成绩的计算基础，分方向培养的专业方向选修课视为必修课。课程成绩及绩点均以教务处“本科教学管理与服务平台”导出的记录为准，使用学生必修课程的首次成绩作为学业成绩计算依据。必选、限选视为选修课。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原则上只取一项。所有加分项以及全面发展成绩总分均以百分制表示。具体评分细则详见表2。</w:t>
      </w:r>
    </w:p>
    <w:p>
      <w:r>
        <w:t>全面发展成绩=参军入伍服兵役加分×20%+志愿服务加分×10%+国际组织实习加分×10%+科研创新成果加分×30%+竞赛获奖加分×30%</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20%</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所有立功受奖需提供部队相关部门颁发的奖励证书等证明材料。按最高项记，不累加。</w:t>
            </w:r>
          </w:p>
        </w:tc>
      </w:tr>
      <w:tr>
        <w:tc>
          <w:tcPr>
            <w:tcW w:type="dxa" w:w="1440"/>
          </w:tcPr>
          <w:p>
            <w:r>
              <w:t>“四有”优秀士兵</w:t>
            </w:r>
          </w:p>
        </w:tc>
        <w:tc>
          <w:tcPr>
            <w:tcW w:type="dxa" w:w="1440"/>
          </w:tcPr>
          <w:p>
            <w:r>
              <w:t>有奖励证明</w:t>
            </w:r>
          </w:p>
        </w:tc>
        <w:tc>
          <w:tcPr>
            <w:tcW w:type="dxa" w:w="1440"/>
          </w:tcPr>
          <w:p>
            <w:r>
              <w:t>70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10%</w:t>
            </w:r>
          </w:p>
        </w:tc>
        <w:tc>
          <w:tcPr>
            <w:tcW w:type="dxa" w:w="1440"/>
          </w:tcPr>
          <w:p>
            <w:r>
              <w:t>详见附件3《关于2027年学校推免工作志愿服务赋分及认定的指导意见（试行）》义务献血截止时间为2026年8月28日。</w:t>
            </w:r>
          </w:p>
        </w:tc>
        <w:tc>
          <w:tcPr>
            <w:tcW w:type="dxa" w:w="1440"/>
          </w:tcPr>
          <w:p/>
        </w:tc>
        <w:tc>
          <w:tcPr>
            <w:tcW w:type="dxa" w:w="1440"/>
          </w:tcPr>
          <w:p/>
        </w:tc>
        <w:tc>
          <w:tcPr>
            <w:tcW w:type="dxa" w:w="1440"/>
          </w:tcPr>
          <w:p/>
        </w:tc>
      </w:tr>
      <w:tr>
        <w:tc>
          <w:tcPr>
            <w:tcW w:type="dxa" w:w="1440"/>
          </w:tcPr>
          <w:p>
            <w:r>
              <w:t>到国际组织实习</w:t>
            </w:r>
          </w:p>
        </w:tc>
        <w:tc>
          <w:tcPr>
            <w:tcW w:type="dxa" w:w="1440"/>
          </w:tcPr>
          <w:p>
            <w:r>
              <w:t>10%</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100</w:t>
            </w:r>
          </w:p>
        </w:tc>
        <w:tc>
          <w:tcPr>
            <w:tcW w:type="dxa" w:w="1440"/>
          </w:tcPr>
          <w:p>
            <w:r>
              <w:t>按最高项记，不累加。</w:t>
            </w:r>
          </w:p>
        </w:tc>
      </w:tr>
      <w:tr>
        <w:tc>
          <w:tcPr>
            <w:tcW w:type="dxa" w:w="1440"/>
          </w:tcPr>
          <w:p>
            <w:r>
              <w:t>完成教育部、省教育厅或其他部委的国际组织实习、培养项目并获得实习经历正式认定</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30%</w:t>
            </w:r>
          </w:p>
        </w:tc>
        <w:tc>
          <w:tcPr>
            <w:tcW w:type="dxa" w:w="1440"/>
          </w:tcPr>
          <w:p>
            <w:r>
              <w:t>SCI一区论文</w:t>
            </w:r>
          </w:p>
        </w:tc>
        <w:tc>
          <w:tcPr>
            <w:tcW w:type="dxa" w:w="1440"/>
          </w:tcPr>
          <w:p>
            <w:r>
              <w:t>独立作者或第一作者或指导老师为第一作者、学生为第二作者，提供证明材料</w:t>
            </w:r>
          </w:p>
        </w:tc>
        <w:tc>
          <w:tcPr>
            <w:tcW w:type="dxa" w:w="1440"/>
          </w:tcPr>
          <w:p>
            <w:r>
              <w:t>100</w:t>
            </w:r>
          </w:p>
        </w:tc>
        <w:tc>
          <w:tcPr>
            <w:tcW w:type="dxa" w:w="1440"/>
          </w:tcPr>
          <w:p>
            <w:r>
              <w:t>①论文分区以中科院分区为准。以正式见刊或录用通知为准。②成果署名单位必须是南京工业大学。③学生与其亲属及其他利益相关者合作的科研成果，不纳入加分指标认定范围。④科研创新成果的审核鉴定由学院推免生遴选专家审核小组负责。申请人须参加公开答辩，审核鉴定结果须公开公示。⑤学生独立作者或一作乘以系数1.0；本校指导老师为第一作者、学生为第二作者乘以系数0.1。按最高项记，不累加。</w:t>
            </w:r>
          </w:p>
        </w:tc>
      </w:tr>
      <w:tr>
        <w:tc>
          <w:tcPr>
            <w:tcW w:type="dxa" w:w="1440"/>
          </w:tcPr>
          <w:p>
            <w:r>
              <w:t>SCI二区论文</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SCI三区论文</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SCI四区论文</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EI收录期刊论文</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北大核心</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竞赛获奖</w:t>
            </w:r>
          </w:p>
        </w:tc>
        <w:tc>
          <w:tcPr>
            <w:tcW w:type="dxa" w:w="1440"/>
          </w:tcPr>
          <w:p>
            <w:r>
              <w:t>30%</w:t>
            </w:r>
          </w:p>
        </w:tc>
        <w:tc>
          <w:tcPr>
            <w:tcW w:type="dxa" w:w="1440"/>
          </w:tcPr>
          <w:p>
            <w:r>
              <w:t>重中之重(A类)</w:t>
            </w:r>
          </w:p>
        </w:tc>
        <w:tc>
          <w:tcPr>
            <w:tcW w:type="dxa" w:w="1440"/>
          </w:tcPr>
          <w:p>
            <w:r>
              <w:t>最高等次</w:t>
            </w:r>
          </w:p>
        </w:tc>
        <w:tc>
          <w:tcPr>
            <w:tcW w:type="dxa" w:w="1440"/>
          </w:tcPr>
          <w:p>
            <w:r>
              <w:t>100</w:t>
            </w:r>
          </w:p>
        </w:tc>
        <w:tc>
          <w:tcPr>
            <w:tcW w:type="dxa" w:w="1440"/>
          </w:tcPr>
          <w:p>
            <w:r>
              <w:t>①竞赛项目以赛事当年教务处发布的《南京工业大学学科竞赛与创新创业竞赛活动目录》为准。②竞赛获奖的审核鉴定由学院推免生遴选专家审核小组负责。申请人须参加公开答辩，审核鉴定结果须公开公示。③学生排序第1乘以系数1.0，排序第2乘以系数0.6，排序第3及之后乘以系数0.3。④三等奖以下不计分。按最高项记，不累加。</w:t>
            </w:r>
          </w:p>
        </w:tc>
      </w:tr>
      <w:tr>
        <w:tc>
          <w:tcPr>
            <w:tcW w:type="dxa" w:w="1440"/>
          </w:tcPr>
          <w:p>
            <w:r>
              <w:t>次一等次</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最高等次</w:t>
            </w:r>
          </w:p>
        </w:tc>
        <w:tc>
          <w:tcPr>
            <w:tcW w:type="dxa" w:w="1440"/>
          </w:tcPr>
          <w:p>
            <w:r>
              <w:t>80</w:t>
            </w:r>
          </w:p>
        </w:tc>
        <w:tc>
          <w:tcPr>
            <w:tcW w:type="dxa" w:w="1440"/>
          </w:tcPr>
          <w:p/>
        </w:tc>
        <w:tc>
          <w:tcPr>
            <w:tcW w:type="dxa" w:w="1440"/>
          </w:tcPr>
          <w:p/>
        </w:tc>
        <w:tc>
          <w:tcPr>
            <w:tcW w:type="dxa" w:w="1440"/>
          </w:tcPr>
          <w:p/>
        </w:tc>
      </w:tr>
      <w:tr>
        <w:tc>
          <w:tcPr>
            <w:tcW w:type="dxa" w:w="1440"/>
          </w:tcPr>
          <w:p>
            <w:r>
              <w:t>次一等次</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最高等次</w:t>
            </w:r>
          </w:p>
        </w:tc>
        <w:tc>
          <w:tcPr>
            <w:tcW w:type="dxa" w:w="1440"/>
          </w:tcPr>
          <w:p>
            <w:r>
              <w:t>70</w:t>
            </w:r>
          </w:p>
        </w:tc>
        <w:tc>
          <w:tcPr>
            <w:tcW w:type="dxa" w:w="1440"/>
          </w:tcPr>
          <w:p/>
        </w:tc>
        <w:tc>
          <w:tcPr>
            <w:tcW w:type="dxa" w:w="1440"/>
          </w:tcPr>
          <w:p/>
        </w:tc>
        <w:tc>
          <w:tcPr>
            <w:tcW w:type="dxa" w:w="1440"/>
          </w:tcPr>
          <w:p/>
        </w:tc>
      </w:tr>
      <w:tr>
        <w:tc>
          <w:tcPr>
            <w:tcW w:type="dxa" w:w="1440"/>
          </w:tcPr>
          <w:p>
            <w:r>
              <w:t>次一等次</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一般(D类)</w:t>
            </w:r>
          </w:p>
        </w:tc>
        <w:tc>
          <w:tcPr>
            <w:tcW w:type="dxa" w:w="1440"/>
          </w:tcPr>
          <w:p>
            <w:r>
              <w:t>最高等次</w:t>
            </w:r>
          </w:p>
        </w:tc>
        <w:tc>
          <w:tcPr>
            <w:tcW w:type="dxa" w:w="1440"/>
          </w:tcPr>
          <w:p>
            <w:r>
              <w:t>50</w:t>
            </w:r>
          </w:p>
        </w:tc>
        <w:tc>
          <w:tcPr>
            <w:tcW w:type="dxa" w:w="1440"/>
          </w:tcPr>
          <w:p/>
        </w:tc>
        <w:tc>
          <w:tcPr>
            <w:tcW w:type="dxa" w:w="1440"/>
          </w:tcPr>
          <w:p/>
        </w:tc>
        <w:tc>
          <w:tcPr>
            <w:tcW w:type="dxa" w:w="1440"/>
          </w:tcPr>
          <w:p/>
        </w:tc>
      </w:tr>
      <w:tr>
        <w:tc>
          <w:tcPr>
            <w:tcW w:type="dxa" w:w="1440"/>
          </w:tcPr>
          <w:p>
            <w:r>
              <w:t>次一等次</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10</w:t>
            </w:r>
          </w:p>
        </w:tc>
        <w:tc>
          <w:tcPr>
            <w:tcW w:type="dxa" w:w="1440"/>
          </w:tcPr>
          <w:p/>
        </w:tc>
        <w:tc>
          <w:tcPr>
            <w:tcW w:type="dxa" w:w="1440"/>
          </w:tcPr>
          <w:p/>
        </w:tc>
        <w:tc>
          <w:tcPr>
            <w:tcW w:type="dxa" w:w="1440"/>
          </w:tcPr>
          <w:p/>
        </w:tc>
        <w:tc>
          <w:tcPr>
            <w:tcW w:type="dxa" w:w="1440"/>
          </w:tcPr>
          <w:p/>
        </w:tc>
      </w:tr>
    </w:tbl>
    <w:p>
      <w:r>
        <w:t>如出现申请者的综合评价成绩相同，以学业成绩择优推荐；如综合评价成绩及学业成绩都相同，以科研创新成果与竞赛获奖成绩累加择优推荐。</w:t>
      </w:r>
    </w:p>
    <w:p>
      <w:r>
        <w:t>五、遴选程序</w:t>
      </w:r>
    </w:p>
    <w:p>
      <w:r>
        <w:t>（一）个人申请</w:t>
      </w:r>
    </w:p>
    <w:p>
      <w:r>
        <w:t>符合基本推荐条件的学生提交《推荐免试研究生资格申请表》（附件1）、《推荐免试研究生思想政治品德考核表》（附件2）、相关证明材料。学生不得同时申请“研究生支教团”类别推免生和普通推免生，只能选择一个类别申请。工作小组审查申请人是否满足基本推荐条件，并如实填写申请表中工作小组审核意见。</w:t>
      </w:r>
    </w:p>
    <w:p>
      <w:r>
        <w:t>（二）材料审核</w:t>
      </w:r>
    </w:p>
    <w:p>
      <w:r>
        <w:t>1.学院党委对满足基本推荐的申请人进行思想政治品德考核，并如实填写《思想政治品德考核表》（附件2）。</w:t>
      </w:r>
    </w:p>
    <w:p>
      <w:r>
        <w:t>2.相关部门和组织对综合评价成绩各项材料进行审核认定，填写审核意见并签字。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院推免工作小组根据各部分审核认定意见，根据上述第四条的遴选方案为各加分项赋分，并计算综合评价成绩，分专业按从高到低的顺序排列，按分配的推免名额确定拟推免人员名单、候补名单以及推荐顺序。召开院推免工作小组会议，审议通过推免结果。</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3.本实施细则由城市建设学院推免工作小组负责解释。</w:t>
      </w:r>
    </w:p>
    <w:p>
      <w:r>
        <w:t>4.学院推免工作接受师生监督，如对推免工作有疑义、意见或建议，请及时向院推免工作小组反映。</w:t>
      </w:r>
    </w:p>
    <w:p>
      <w:r>
        <w:t>学院：025-58139556，wlj@njtech.edu.cn</w:t>
      </w:r>
    </w:p>
    <w:p>
      <w:r>
        <w:t>附件：1.推荐免试研究生资格申请表</w:t>
      </w:r>
    </w:p>
    <w:p>
      <w:r>
        <w:t>2.推荐免试研究生思想政治品德考核表</w:t>
      </w:r>
    </w:p>
    <w:p>
      <w:r>
        <w:t>3.关于2027年学校推免工作志愿服务赋分及认定的指导意见</w:t>
      </w:r>
    </w:p>
    <w:p>
      <w:r>
        <w:t>城市建设学院</w:t>
      </w:r>
    </w:p>
    <w:p>
      <w:r>
        <w:t>2026年8月2 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