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土木工程学院2027年推荐优秀应届本科毕业生免试攻读硕士研究生工作实施细则</w:t>
      </w:r>
    </w:p>
    <w:p>
      <w:r>
        <w:t>为加强国家战略急需拔尖创新人才选拔，科学改革学生综合素质评价方式，促进和激励本科生勤奋学习、全面发展，规范、高效地做好学院202 7年推荐优秀应届本科毕业生免试攻读硕士研究生相关工作，根据学校《关于做好202 7年推荐优秀应届本科毕业生免试攻读研究生工作的通知》（以下简称“2 027年推免工作通知”）相关要求，结合学院实际，制定本实施细则。</w:t>
      </w:r>
    </w:p>
    <w:p>
      <w:r>
        <w:t>一、组织与领导</w:t>
      </w:r>
    </w:p>
    <w:p>
      <w:r>
        <w:t>（一）组织机构</w:t>
      </w:r>
    </w:p>
    <w:p>
      <w:r>
        <w:t>学院成立202 7年推免生遴选工作小组（简称推免工作小组）和推免生遴选专家审核小组（简称专家审核小组）。</w:t>
      </w:r>
    </w:p>
    <w:p>
      <w:r>
        <w:t>（二）组织机构职责</w:t>
      </w:r>
    </w:p>
    <w:p>
      <w:r>
        <w:t>1.推免工作小组负责制定推免生遴选工作实施细则，负责学院推免工作的组织实施和咨询申诉等；</w:t>
      </w:r>
    </w:p>
    <w:p>
      <w:r>
        <w:t>2 .专家审核小组负责论证学院相关学科专业的科研创新成果、参赛获奖等加分指标认定范围、标准等要求，以及审核鉴定学生申报的科研创新成果和参赛获奖材料。</w:t>
      </w:r>
    </w:p>
    <w:p>
      <w:r>
        <w:t>（三）工作原则</w:t>
      </w:r>
    </w:p>
    <w:p>
      <w:r>
        <w:t>1.坚持公开、公平、公正原则；</w:t>
      </w:r>
    </w:p>
    <w:p>
      <w:r>
        <w:t>2.坚持全面考核、择优推荐的原则。</w:t>
      </w:r>
    </w:p>
    <w:p>
      <w:r>
        <w:t>二、名额分配</w:t>
      </w:r>
    </w:p>
    <w:p>
      <w:r>
        <w:t>根据学校的统筹安排，我院今年可推荐33名应届本科毕业生免试攻读硕士研究生，并且可按应届毕业生人数的0 .5%（四舍五入）确定候补。学院按专业2 027届毕业生人数、本科专业建设水平、研究生培养条件和吸引力、国家战略人才需求，以及拔尖创新人才培养等因素分配各专业推免名额。经学院推免工作小组集体研究决定，并报学院党政联席会批准，各专业名额分配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土木工程</w:t>
            </w:r>
          </w:p>
        </w:tc>
        <w:tc>
          <w:tcPr>
            <w:tcW w:type="dxa" w:w="2880"/>
          </w:tcPr>
          <w:p>
            <w:r>
              <w:t>23</w:t>
            </w:r>
          </w:p>
        </w:tc>
        <w:tc>
          <w:tcPr>
            <w:tcW w:type="dxa" w:w="2880"/>
          </w:tcPr>
          <w:p>
            <w:r>
              <w:t>1</w:t>
            </w:r>
          </w:p>
        </w:tc>
      </w:tr>
      <w:tr>
        <w:tc>
          <w:tcPr>
            <w:tcW w:type="dxa" w:w="2880"/>
          </w:tcPr>
          <w:p>
            <w:r>
              <w:t>智能建造</w:t>
            </w:r>
          </w:p>
        </w:tc>
        <w:tc>
          <w:tcPr>
            <w:tcW w:type="dxa" w:w="2880"/>
          </w:tcPr>
          <w:p>
            <w:r>
              <w:t>8</w:t>
            </w:r>
          </w:p>
        </w:tc>
        <w:tc>
          <w:tcPr>
            <w:tcW w:type="dxa" w:w="2880"/>
          </w:tcPr>
          <w:p/>
        </w:tc>
      </w:tr>
      <w:tr>
        <w:tc>
          <w:tcPr>
            <w:tcW w:type="dxa" w:w="2880"/>
          </w:tcPr>
          <w:p>
            <w:r>
              <w:t>土木工程（中外合作办学）</w:t>
            </w:r>
          </w:p>
        </w:tc>
        <w:tc>
          <w:tcPr>
            <w:tcW w:type="dxa" w:w="2880"/>
          </w:tcPr>
          <w:p>
            <w:r>
              <w:t>2</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必修课程累计平均学分绩点（以下称课程平均绩点）“专业排名”前35%以内。课程成绩及绩点均以教务处“本科教学管理与服务平台”导出的记录为准，主修专业培养方案内必修课程的首次成绩无不及格情况，采用相关课程的首次成绩作为学业成绩依据。如学生有相关课程缓考，成绩未出，缓考课程不纳入计分范围。</w:t>
      </w:r>
    </w:p>
    <w:p>
      <w:r>
        <w:t>5.全国大学英语四级考试425分及以上，或托福72分及以上，或雅思5.5分及以上。第一外语为其它语种，需参加全国小语种四级考试（或日语能力等级测试（JLPT）N3及以上等级），并提供成绩合格证明。</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70%+全面发展成绩× 30%</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同一类别项目有多项加分情况时，原则上只取一项。所有加分项以及全面发展成绩总分均以百分制表示。具体评分细则详见表2。</w:t>
      </w:r>
    </w:p>
    <w:p>
      <w:r>
        <w:t>全面发展成绩=参军入伍服兵役加分× 15% +志愿服务加分× 10% +国际组织实习加分× 5% +科研创新成果加分× 35% +竞赛获奖加分× 35%</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15%</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有参军入伍证明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w:t>
            </w:r>
          </w:p>
        </w:tc>
        <w:tc>
          <w:tcPr>
            <w:tcW w:type="dxa" w:w="1440"/>
          </w:tcPr>
          <w:p>
            <w:r>
              <w:t>详见附件3《关于202 7年学校推免工作志愿服务赋分及认定的指导意见（试行）》。</w:t>
            </w:r>
          </w:p>
        </w:tc>
        <w:tc>
          <w:tcPr>
            <w:tcW w:type="dxa" w:w="1440"/>
          </w:tcPr>
          <w:p/>
        </w:tc>
        <w:tc>
          <w:tcPr>
            <w:tcW w:type="dxa" w:w="1440"/>
          </w:tcPr>
          <w:p/>
        </w:tc>
        <w:tc>
          <w:tcPr>
            <w:tcW w:type="dxa" w:w="1440"/>
          </w:tcPr>
          <w:p/>
        </w:tc>
      </w:tr>
      <w:tr>
        <w:tc>
          <w:tcPr>
            <w:tcW w:type="dxa" w:w="1440"/>
          </w:tcPr>
          <w:p>
            <w:r>
              <w:t>到国际组织实习</w:t>
            </w:r>
          </w:p>
        </w:tc>
        <w:tc>
          <w:tcPr>
            <w:tcW w:type="dxa" w:w="1440"/>
          </w:tcPr>
          <w:p>
            <w:r>
              <w:t>5 %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提供实习经历认定和表彰证明材料</w:t>
            </w:r>
          </w:p>
        </w:tc>
        <w:tc>
          <w:tcPr>
            <w:tcW w:type="dxa" w:w="1440"/>
          </w:tcPr>
          <w:p>
            <w:r>
              <w:t>100</w:t>
            </w:r>
          </w:p>
        </w:tc>
        <w:tc>
          <w:tcPr>
            <w:tcW w:type="dxa" w:w="1440"/>
          </w:tcPr>
          <w:p>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35 %</w:t>
            </w:r>
          </w:p>
        </w:tc>
        <w:tc>
          <w:tcPr>
            <w:tcW w:type="dxa" w:w="1440"/>
          </w:tcPr>
          <w:p>
            <w:r>
              <w:t>SCI一区期刊论文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分区为准。高质量科技期刊分级以论文发表当年中国科协正式发布的高质量科技期刊分级目录为准。同时满足多个条件的论文，就高赋分。以正式见刊或录用通知为准。②成果第一署名单位必须是南京工业大学。指导老师为第一作者、学生为第二作者的论文在相应分值的基础上乘以0.5的调整系数。③发表于中科院《国际期刊预警名单》中期刊的论文不予计分。④学生与其亲属及其他利益相关者合作的科研成果，不纳入加分指标认定范围。⑤只取一项加分，不累计。⑥科研创新成果的审核鉴定由学院推免生遴选专家审核小组负责。申请人须参加公开答辩，审核鉴定结果须公开公示。</w:t>
            </w:r>
          </w:p>
        </w:tc>
      </w:tr>
      <w:tr>
        <w:tc>
          <w:tcPr>
            <w:tcW w:type="dxa" w:w="1440"/>
          </w:tcPr>
          <w:p>
            <w:r>
              <w:t>SCI二区期刊论文/高质量科技期刊分级T 1期刊论文</w:t>
            </w:r>
          </w:p>
        </w:tc>
        <w:tc>
          <w:tcPr>
            <w:tcW w:type="dxa" w:w="1440"/>
          </w:tcPr>
          <w:p>
            <w:r>
              <w:t>85</w:t>
            </w:r>
          </w:p>
        </w:tc>
        <w:tc>
          <w:tcPr>
            <w:tcW w:type="dxa" w:w="1440"/>
          </w:tcPr>
          <w:p/>
        </w:tc>
        <w:tc>
          <w:tcPr>
            <w:tcW w:type="dxa" w:w="1440"/>
          </w:tcPr>
          <w:p/>
        </w:tc>
        <w:tc>
          <w:tcPr>
            <w:tcW w:type="dxa" w:w="1440"/>
          </w:tcPr>
          <w:p/>
        </w:tc>
        <w:tc>
          <w:tcPr>
            <w:tcW w:type="dxa" w:w="1440"/>
          </w:tcPr>
          <w:p/>
        </w:tc>
      </w:tr>
      <w:tr>
        <w:tc>
          <w:tcPr>
            <w:tcW w:type="dxa" w:w="1440"/>
          </w:tcPr>
          <w:p>
            <w:r>
              <w:t>SCI三区期刊论文/ EI期刊论文</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SCI四区期刊论文</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北大中文核心</w:t>
            </w:r>
          </w:p>
        </w:tc>
        <w:tc>
          <w:tcPr>
            <w:tcW w:type="dxa" w:w="1440"/>
          </w:tcPr>
          <w:p>
            <w:r>
              <w:t>35</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35 %</w:t>
            </w:r>
          </w:p>
        </w:tc>
        <w:tc>
          <w:tcPr>
            <w:tcW w:type="dxa" w:w="1440"/>
          </w:tcPr>
          <w:p>
            <w:r>
              <w:t>重中之重(A类)</w:t>
            </w:r>
          </w:p>
        </w:tc>
        <w:tc>
          <w:tcPr>
            <w:tcW w:type="dxa" w:w="1440"/>
          </w:tcPr>
          <w:p>
            <w:r>
              <w:t>特等奖</w:t>
            </w:r>
          </w:p>
        </w:tc>
        <w:tc>
          <w:tcPr>
            <w:tcW w:type="dxa" w:w="1440"/>
          </w:tcPr>
          <w:p>
            <w:r>
              <w:t>100</w:t>
            </w:r>
          </w:p>
        </w:tc>
        <w:tc>
          <w:tcPr>
            <w:tcW w:type="dxa" w:w="1440"/>
          </w:tcPr>
          <w:p>
            <w:r>
              <w:t>①仅限作为主力成员参加与学业相关的国内权威科研竞赛（全国赛）并获得三等奖及以上奖励（国际赛事参照执行，但不得低于国内赛事相关要求）。②如竞赛最高奖为一等奖，一等奖/二等奖/三等奖的赋分值相应往上提一档。③只取一项加分，不累计；三等奖以下不加分。④团队竞赛获奖证明材料中排名第一的学生，计分系数为1.0，最后一名，计分系数为0 .5，中间名次依次等差递减。⑤竞赛项目以赛事当年教务处发布的《南京工业大学学科竞赛与创新创业竞赛活动目录》为准。⑥竞赛获奖的审核鉴定由学院推免生遴选专家审核小组负责。申请人须参加公开答辩，审核鉴定结果须公开公示。</w:t>
            </w:r>
          </w:p>
        </w:tc>
      </w:tr>
      <w:tr>
        <w:tc>
          <w:tcPr>
            <w:tcW w:type="dxa" w:w="1440"/>
          </w:tcPr>
          <w:p>
            <w:r>
              <w:t>一等奖</w:t>
            </w:r>
          </w:p>
        </w:tc>
        <w:tc>
          <w:tcPr>
            <w:tcW w:type="dxa" w:w="1440"/>
          </w:tcPr>
          <w:p>
            <w:r>
              <w:t>85</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55</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特等奖</w:t>
            </w:r>
          </w:p>
        </w:tc>
        <w:tc>
          <w:tcPr>
            <w:tcW w:type="dxa" w:w="1440"/>
          </w:tcPr>
          <w:p>
            <w:r>
              <w:t>85</w:t>
            </w:r>
          </w:p>
        </w:tc>
        <w:tc>
          <w:tcPr>
            <w:tcW w:type="dxa" w:w="1440"/>
          </w:tcPr>
          <w:p/>
        </w:tc>
        <w:tc>
          <w:tcPr>
            <w:tcW w:type="dxa" w:w="1440"/>
          </w:tcPr>
          <w:p/>
        </w:tc>
        <w:tc>
          <w:tcPr>
            <w:tcW w:type="dxa" w:w="1440"/>
          </w:tcPr>
          <w:p/>
        </w:tc>
      </w:tr>
      <w:tr>
        <w:tc>
          <w:tcPr>
            <w:tcW w:type="dxa" w:w="1440"/>
          </w:tcPr>
          <w:p>
            <w:r>
              <w:t>一等奖</w:t>
            </w:r>
          </w:p>
        </w:tc>
        <w:tc>
          <w:tcPr>
            <w:tcW w:type="dxa" w:w="1440"/>
          </w:tcPr>
          <w:p>
            <w:r>
              <w:t>55</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2 5</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特等奖</w:t>
            </w:r>
          </w:p>
        </w:tc>
        <w:tc>
          <w:tcPr>
            <w:tcW w:type="dxa" w:w="1440"/>
          </w:tcPr>
          <w:p>
            <w:r>
              <w:t>7 0</w:t>
            </w:r>
          </w:p>
        </w:tc>
        <w:tc>
          <w:tcPr>
            <w:tcW w:type="dxa" w:w="1440"/>
          </w:tcPr>
          <w:p/>
        </w:tc>
        <w:tc>
          <w:tcPr>
            <w:tcW w:type="dxa" w:w="1440"/>
          </w:tcPr>
          <w:p/>
        </w:tc>
        <w:tc>
          <w:tcPr>
            <w:tcW w:type="dxa" w:w="1440"/>
          </w:tcPr>
          <w:p/>
        </w:tc>
      </w:tr>
      <w:tr>
        <w:tc>
          <w:tcPr>
            <w:tcW w:type="dxa" w:w="1440"/>
          </w:tcPr>
          <w:p>
            <w:r>
              <w:t>一等奖</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2 5</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1 0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特等奖</w:t>
            </w:r>
          </w:p>
        </w:tc>
        <w:tc>
          <w:tcPr>
            <w:tcW w:type="dxa" w:w="1440"/>
          </w:tcPr>
          <w:p>
            <w:r>
              <w:t>4 0</w:t>
            </w:r>
          </w:p>
        </w:tc>
        <w:tc>
          <w:tcPr>
            <w:tcW w:type="dxa" w:w="1440"/>
          </w:tcPr>
          <w:p/>
        </w:tc>
        <w:tc>
          <w:tcPr>
            <w:tcW w:type="dxa" w:w="1440"/>
          </w:tcPr>
          <w:p/>
        </w:tc>
        <w:tc>
          <w:tcPr>
            <w:tcW w:type="dxa" w:w="1440"/>
          </w:tcPr>
          <w:p/>
        </w:tc>
      </w:tr>
      <w:tr>
        <w:tc>
          <w:tcPr>
            <w:tcW w:type="dxa" w:w="1440"/>
          </w:tcPr>
          <w:p>
            <w:r>
              <w:t>一等奖</w:t>
            </w:r>
          </w:p>
        </w:tc>
        <w:tc>
          <w:tcPr>
            <w:tcW w:type="dxa" w:w="1440"/>
          </w:tcPr>
          <w:p>
            <w:r>
              <w:t>2 5</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1 0</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5</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2.本方案与上级管理部门政策文件有冲突的，以上级管理部门政策为准。其他未尽事宜，由学院推免工作小组商议、报教务处审定后处理。</w:t>
      </w:r>
    </w:p>
    <w:p>
      <w:r>
        <w:t>3.本实施细则由土木工程学院推免工作小组负责解释。</w:t>
      </w:r>
    </w:p>
    <w:p>
      <w:r>
        <w:t>4.学院推免工作接受师生监督，如对推免工作有疑义、意见或建议，请及时向院推免工作小组反映。</w:t>
      </w:r>
    </w:p>
    <w:p>
      <w:r>
        <w:t>学院：025-58139488，tmxy @njtech.edu.cn</w:t>
      </w:r>
    </w:p>
    <w:p>
      <w:r>
        <w:t>附件：1.推荐免试研究生资格申请表</w:t>
      </w:r>
    </w:p>
    <w:p>
      <w:r>
        <w:t>2.推荐免试研究生思想政治品德考核表</w:t>
      </w:r>
    </w:p>
    <w:p>
      <w:r>
        <w:t>土木工程学院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