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化工学院2027年推荐免试研究生（含直博生）招生综合考核实施细则</w:t>
      </w:r>
    </w:p>
    <w:p>
      <w:r>
        <w:t>为做好我院2027年推荐免试研究生（含直博生）招生工作，根据《全国高等学校推荐优秀应届本科毕业生免试攻读研究生工作管理规定》《南京工业大学推荐免试研究生招生录取工作办法》等有关文件精神，结合学院工作实际，制定本细则，具体如下：</w:t>
      </w:r>
    </w:p>
    <w:p>
      <w:r>
        <w:t>一、招生专业</w:t>
      </w:r>
    </w:p>
    <w:p>
      <w:r>
        <w:t>硕士研究生：070300化学；081700化学工程与技术；085600材料与化工</w:t>
      </w:r>
    </w:p>
    <w:p>
      <w:r>
        <w:t>直博生：081700化学工程与技术</w:t>
      </w:r>
    </w:p>
    <w:p>
      <w:r>
        <w:t>二、申请基本条件</w:t>
      </w:r>
    </w:p>
    <w:p>
      <w:r>
        <w:t>1.中华人民共和国公民，拥护中国共产党领导，品德良好，遵纪守法。</w:t>
      </w:r>
    </w:p>
    <w:p>
      <w:r>
        <w:t>2.身体健康状况符合国家和专业规定的体检要求，心理健康状况良好。</w:t>
      </w:r>
    </w:p>
    <w:p>
      <w:r>
        <w:t>3.本科阶段学习成绩优秀，专业成绩或综合成绩名列本专业前茅。</w:t>
      </w:r>
    </w:p>
    <w:p>
      <w:r>
        <w:t>4.获得所在学校当年推荐免试资格。</w:t>
      </w:r>
    </w:p>
    <w:p>
      <w:r>
        <w:t>5.诚实守信、品行端正、学风优良，本科学习期间无任何违法违纪受处分记录。</w:t>
      </w:r>
    </w:p>
    <w:p>
      <w:r>
        <w:t>6.申请直博者，除满足以上条件外，还需专业基础扎实，对科学研究兴趣浓厚，具有较强的科研创新能力和博士生培养潜质。按双向选择原则，申请人应在报名前征得拟报考导师的同意。</w:t>
      </w:r>
    </w:p>
    <w:p>
      <w:r>
        <w:t>三、申请材料要求</w:t>
      </w:r>
    </w:p>
    <w:p>
      <w:r>
        <w:t>申请人需向学院提供以下申请材料：</w:t>
      </w:r>
    </w:p>
    <w:p>
      <w:r>
        <w:t>1.本人学生证、身份证复印件各一份，原件备查；</w:t>
      </w:r>
    </w:p>
    <w:p>
      <w:r>
        <w:t>2.加盖推荐学校教务部门公章的本科成绩单；</w:t>
      </w:r>
    </w:p>
    <w:p>
      <w:r>
        <w:t>3.外语水平证明复印件：大学英语四、六级考试，托福、雅思等证书或成绩单；</w:t>
      </w:r>
    </w:p>
    <w:p>
      <w:r>
        <w:t>4.其他科研创新证明材料：公开发表的学术论文、专利、学科竞赛获奖证书等，以及其他可以证明综合能力与创新水平的材料（没有可不提供）；</w:t>
      </w:r>
    </w:p>
    <w:p>
      <w:r>
        <w:t>5.《南京工业大学招收推荐免试研究生思想政治品德考核表》，由推荐学校所在院（系）党组织填写并加盖公章；</w:t>
      </w:r>
    </w:p>
    <w:p>
      <w:r>
        <w:t>6.本人签名的《南京工业大学推荐免试研究生综合考核诚信承诺书》；</w:t>
      </w:r>
    </w:p>
    <w:p>
      <w:r>
        <w:t>7.直博生申请人除提供1~6项材料外，还须提供2份《专家推荐书》，由申请学科专业领域2名教授（或相当专业技术职称专家）撰写的推荐意见并签名。</w:t>
      </w:r>
    </w:p>
    <w:p>
      <w:r>
        <w:t>申请人须将上述个人申请材料按顺序整理，所提供材料均采用A4纸大小，提交PDF电子版和纸质版各1份，电子版文件命名规范为“姓名—本科院校—报考类型（推免/直博）”，纸质版材料请用A4纸按顺序排列装订成册。</w:t>
      </w:r>
    </w:p>
    <w:p>
      <w:r>
        <w:t>提交方式：1、电子版发送至邮箱hgxy@njtech.edu.cn。2、纸质版邮寄必须通过邮政EMS，以邮戳为准。</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w:t>
      </w:r>
    </w:p>
    <w:p>
      <w:r>
        <w:t>成功报名后，电子版申请材料应于推免生系统报名成功后的48小时内提交，纸质版材料应于推免生系统报名成功后的3天内寄出，以邮戳时间为准。</w:t>
      </w:r>
    </w:p>
    <w:p>
      <w:r>
        <w:t>面试具体时间、地点，由学院与考生协商确定并通知，本年度学院综合考核工作将在2026年10月17日前全部完成。</w:t>
      </w:r>
    </w:p>
    <w:p>
      <w:r>
        <w:t>（二）综合考核内容及要求</w:t>
      </w:r>
    </w:p>
    <w:p>
      <w:r>
        <w:t>1.材料审核</w:t>
      </w:r>
    </w:p>
    <w:p>
      <w:r>
        <w:t>在学院研究生招生工作小组指导下，组建本学科推免生材料审核专家组。专家组成员须为本学科副教授及以上职称或具有相当专业技术职务，人数不少于5人。专家组负责对考生的科研创新成果（含学术论文和专利）、竞赛获奖等材料开展审核并打分（百分制）。对不符合报考条件或申请直博生但未获得拟报考导师同意的申请人，不予进入下一轮选拔程序。拟进入面试的人选名单，经学院研究生招生工作小组审核后报送研究生院。</w:t>
      </w:r>
    </w:p>
    <w:p>
      <w:r>
        <w:t>材料审核成绩计算公式：材料审核成绩=基础成绩（100分）× 7 0 % +科研创新成果（100分）× 2 0%+竞赛获奖（100分）× 1 0 %</w:t>
      </w:r>
    </w:p>
    <w:p>
      <w:r>
        <w:t>表1科研创新成果和竞赛获奖评分细则</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科研创新成果</w:t>
            </w:r>
          </w:p>
        </w:tc>
        <w:tc>
          <w:tcPr>
            <w:tcW w:type="dxa" w:w="1728"/>
          </w:tcPr>
          <w:p>
            <w:r>
              <w:t>SCI一区论文</w:t>
            </w:r>
          </w:p>
        </w:tc>
        <w:tc>
          <w:tcPr>
            <w:tcW w:type="dxa" w:w="1728"/>
          </w:tcPr>
          <w:p>
            <w:r>
              <w:t>独立作者或第一作者或指导老师为第一作者、学生为第二作者，提供证明材料。</w:t>
            </w:r>
          </w:p>
        </w:tc>
        <w:tc>
          <w:tcPr>
            <w:tcW w:type="dxa" w:w="1728"/>
          </w:tcPr>
          <w:p>
            <w:r>
              <w:t>100</w:t>
            </w:r>
          </w:p>
        </w:tc>
        <w:tc>
          <w:tcPr>
            <w:tcW w:type="dxa" w:w="1728"/>
          </w:tcPr>
          <w:p>
            <w:r>
              <w:t>①论文分区以中科院分区为准。以正式见刊或录用通知为准。②独立作者或第一作者获得该项目100%得分；指导老师为第一作者、学生为第二作者按相应分值× 0.5计分；共同第一作者按该项目得分除以共同第一作者总人数计分。③学生与其亲属及其他利益相关者合作的科研成果，不纳入加分指标认定范围。④按最高得分项目计，不累加。</w:t>
            </w:r>
          </w:p>
        </w:tc>
      </w:tr>
      <w:tr>
        <w:tc>
          <w:tcPr>
            <w:tcW w:type="dxa" w:w="1728"/>
          </w:tcPr>
          <w:p>
            <w:r>
              <w:t>SCI二区论文</w:t>
            </w:r>
          </w:p>
        </w:tc>
        <w:tc>
          <w:tcPr>
            <w:tcW w:type="dxa" w:w="1728"/>
          </w:tcPr>
          <w:p>
            <w:r>
              <w:t>85</w:t>
            </w:r>
          </w:p>
        </w:tc>
        <w:tc>
          <w:tcPr>
            <w:tcW w:type="dxa" w:w="1728"/>
          </w:tcPr>
          <w:p/>
        </w:tc>
        <w:tc>
          <w:tcPr>
            <w:tcW w:type="dxa" w:w="1728"/>
          </w:tcPr>
          <w:p/>
        </w:tc>
        <w:tc>
          <w:tcPr>
            <w:tcW w:type="dxa" w:w="1728"/>
          </w:tcPr>
          <w:p/>
        </w:tc>
      </w:tr>
      <w:tr>
        <w:tc>
          <w:tcPr>
            <w:tcW w:type="dxa" w:w="1728"/>
          </w:tcPr>
          <w:p>
            <w:r>
              <w:t>SCI三区论文</w:t>
            </w:r>
          </w:p>
        </w:tc>
        <w:tc>
          <w:tcPr>
            <w:tcW w:type="dxa" w:w="1728"/>
          </w:tcPr>
          <w:p>
            <w:r>
              <w:t>70</w:t>
            </w:r>
          </w:p>
        </w:tc>
        <w:tc>
          <w:tcPr>
            <w:tcW w:type="dxa" w:w="1728"/>
          </w:tcPr>
          <w:p/>
        </w:tc>
        <w:tc>
          <w:tcPr>
            <w:tcW w:type="dxa" w:w="1728"/>
          </w:tcPr>
          <w:p/>
        </w:tc>
        <w:tc>
          <w:tcPr>
            <w:tcW w:type="dxa" w:w="1728"/>
          </w:tcPr>
          <w:p/>
        </w:tc>
      </w:tr>
      <w:tr>
        <w:tc>
          <w:tcPr>
            <w:tcW w:type="dxa" w:w="1728"/>
          </w:tcPr>
          <w:p>
            <w:r>
              <w:t>SCI四区论文</w:t>
            </w:r>
          </w:p>
        </w:tc>
        <w:tc>
          <w:tcPr>
            <w:tcW w:type="dxa" w:w="1728"/>
          </w:tcPr>
          <w:p>
            <w:r>
              <w:t>50</w:t>
            </w:r>
          </w:p>
        </w:tc>
        <w:tc>
          <w:tcPr>
            <w:tcW w:type="dxa" w:w="1728"/>
          </w:tcPr>
          <w:p/>
        </w:tc>
        <w:tc>
          <w:tcPr>
            <w:tcW w:type="dxa" w:w="1728"/>
          </w:tcPr>
          <w:p/>
        </w:tc>
        <w:tc>
          <w:tcPr>
            <w:tcW w:type="dxa" w:w="1728"/>
          </w:tcPr>
          <w:p/>
        </w:tc>
      </w:tr>
      <w:tr>
        <w:tc>
          <w:tcPr>
            <w:tcW w:type="dxa" w:w="1728"/>
          </w:tcPr>
          <w:p>
            <w:r>
              <w:t>EI论文</w:t>
            </w:r>
          </w:p>
        </w:tc>
        <w:tc>
          <w:tcPr>
            <w:tcW w:type="dxa" w:w="1728"/>
          </w:tcPr>
          <w:p>
            <w:r>
              <w:t>35</w:t>
            </w:r>
          </w:p>
        </w:tc>
        <w:tc>
          <w:tcPr>
            <w:tcW w:type="dxa" w:w="1728"/>
          </w:tcPr>
          <w:p/>
        </w:tc>
        <w:tc>
          <w:tcPr>
            <w:tcW w:type="dxa" w:w="1728"/>
          </w:tcPr>
          <w:p/>
        </w:tc>
        <w:tc>
          <w:tcPr>
            <w:tcW w:type="dxa" w:w="1728"/>
          </w:tcPr>
          <w:p/>
        </w:tc>
      </w:tr>
      <w:tr>
        <w:tc>
          <w:tcPr>
            <w:tcW w:type="dxa" w:w="1728"/>
          </w:tcPr>
          <w:p>
            <w:r>
              <w:t>北大核心</w:t>
            </w:r>
          </w:p>
        </w:tc>
        <w:tc>
          <w:tcPr>
            <w:tcW w:type="dxa" w:w="1728"/>
          </w:tcPr>
          <w:p>
            <w:r>
              <w:t>35</w:t>
            </w:r>
          </w:p>
        </w:tc>
        <w:tc>
          <w:tcPr>
            <w:tcW w:type="dxa" w:w="1728"/>
          </w:tcPr>
          <w:p/>
        </w:tc>
        <w:tc>
          <w:tcPr>
            <w:tcW w:type="dxa" w:w="1728"/>
          </w:tcPr>
          <w:p/>
        </w:tc>
        <w:tc>
          <w:tcPr>
            <w:tcW w:type="dxa" w:w="1728"/>
          </w:tcPr>
          <w:p/>
        </w:tc>
      </w:tr>
      <w:tr>
        <w:tc>
          <w:tcPr>
            <w:tcW w:type="dxa" w:w="1728"/>
          </w:tcPr>
          <w:p>
            <w:r>
              <w:t>获得国际专利</w:t>
            </w:r>
          </w:p>
        </w:tc>
        <w:tc>
          <w:tcPr>
            <w:tcW w:type="dxa" w:w="1728"/>
          </w:tcPr>
          <w:p>
            <w:r/>
          </w:p>
        </w:tc>
        <w:tc>
          <w:tcPr>
            <w:tcW w:type="dxa" w:w="1728"/>
          </w:tcPr>
          <w:p>
            <w:r>
              <w:t>100</w:t>
            </w:r>
          </w:p>
        </w:tc>
        <w:tc>
          <w:tcPr>
            <w:tcW w:type="dxa" w:w="1728"/>
          </w:tcPr>
          <w:p/>
        </w:tc>
        <w:tc>
          <w:tcPr>
            <w:tcW w:type="dxa" w:w="1728"/>
          </w:tcPr>
          <w:p/>
        </w:tc>
      </w:tr>
      <w:tr>
        <w:tc>
          <w:tcPr>
            <w:tcW w:type="dxa" w:w="1728"/>
          </w:tcPr>
          <w:p>
            <w:r>
              <w:t>获得中国发明专利</w:t>
            </w:r>
          </w:p>
        </w:tc>
        <w:tc>
          <w:tcPr>
            <w:tcW w:type="dxa" w:w="1728"/>
          </w:tcPr>
          <w:p>
            <w:r/>
          </w:p>
        </w:tc>
        <w:tc>
          <w:tcPr>
            <w:tcW w:type="dxa" w:w="1728"/>
          </w:tcPr>
          <w:p>
            <w:r>
              <w:t>70</w:t>
            </w:r>
          </w:p>
        </w:tc>
        <w:tc>
          <w:tcPr>
            <w:tcW w:type="dxa" w:w="1728"/>
          </w:tcPr>
          <w:p/>
        </w:tc>
        <w:tc>
          <w:tcPr>
            <w:tcW w:type="dxa" w:w="1728"/>
          </w:tcPr>
          <w:p/>
        </w:tc>
      </w:tr>
      <w:tr>
        <w:tc>
          <w:tcPr>
            <w:tcW w:type="dxa" w:w="1728"/>
          </w:tcPr>
          <w:p>
            <w:r>
              <w:t>竞赛获奖</w:t>
            </w:r>
          </w:p>
        </w:tc>
        <w:tc>
          <w:tcPr>
            <w:tcW w:type="dxa" w:w="1728"/>
          </w:tcPr>
          <w:p>
            <w:r>
              <w:t>A类学科竞赛</w:t>
            </w:r>
          </w:p>
        </w:tc>
        <w:tc>
          <w:tcPr>
            <w:tcW w:type="dxa" w:w="1728"/>
          </w:tcPr>
          <w:p>
            <w:r>
              <w:t>最高奖次</w:t>
            </w:r>
          </w:p>
        </w:tc>
        <w:tc>
          <w:tcPr>
            <w:tcW w:type="dxa" w:w="1728"/>
          </w:tcPr>
          <w:p>
            <w:r>
              <w:t>100</w:t>
            </w:r>
          </w:p>
        </w:tc>
        <w:tc>
          <w:tcPr>
            <w:tcW w:type="dxa" w:w="1728"/>
          </w:tcPr>
          <w:p>
            <w:r>
              <w:t>① A类学科竞赛为：中国国际大学生创新大赛、“挑战杯”全国大学生课外学术科技作品竞赛主体赛、“挑战杯”中国大学生创业计划竞赛主体赛；B类学科竞赛为：参赛当年高等教育学会发布的全国普通高校大学生竞赛排行榜内项目；C类学科竞赛为：未在排行榜中竞赛项目将由学院推免生材料审核专家组审议（学科竞赛应为化工学会等正规官方机构举办）。以上赛事仅限于全国赛。②竞赛获奖应为学生独立参加或作为主力成员参加与学业相关的国内权威赛事，并获得三等奖及以上奖励（国际赛事参照执行，但不得低于国内赛事相关要求）。③竞赛获奖证明材料中排名第一的学生，计分系数为1.0，其他排名，计分系数为0.8。④若次三等奖低于三等奖，则不可加分。⑤按最高得分项计，不累加。</w:t>
            </w:r>
          </w:p>
        </w:tc>
      </w:tr>
      <w:tr>
        <w:tc>
          <w:tcPr>
            <w:tcW w:type="dxa" w:w="1728"/>
          </w:tcPr>
          <w:p>
            <w:r>
              <w:t>次一奖次</w:t>
            </w:r>
          </w:p>
        </w:tc>
        <w:tc>
          <w:tcPr>
            <w:tcW w:type="dxa" w:w="1728"/>
          </w:tcPr>
          <w:p>
            <w:r>
              <w:t>50</w:t>
            </w:r>
          </w:p>
        </w:tc>
        <w:tc>
          <w:tcPr>
            <w:tcW w:type="dxa" w:w="1728"/>
          </w:tcPr>
          <w:p/>
        </w:tc>
        <w:tc>
          <w:tcPr>
            <w:tcW w:type="dxa" w:w="1728"/>
          </w:tcPr>
          <w:p/>
        </w:tc>
        <w:tc>
          <w:tcPr>
            <w:tcW w:type="dxa" w:w="1728"/>
          </w:tcPr>
          <w:p/>
        </w:tc>
      </w:tr>
      <w:tr>
        <w:tc>
          <w:tcPr>
            <w:tcW w:type="dxa" w:w="1728"/>
          </w:tcPr>
          <w:p>
            <w:r>
              <w:t>次二奖次</w:t>
            </w:r>
          </w:p>
        </w:tc>
        <w:tc>
          <w:tcPr>
            <w:tcW w:type="dxa" w:w="1728"/>
          </w:tcPr>
          <w:p>
            <w:r>
              <w:t>30</w:t>
            </w:r>
          </w:p>
        </w:tc>
        <w:tc>
          <w:tcPr>
            <w:tcW w:type="dxa" w:w="1728"/>
          </w:tcPr>
          <w:p/>
        </w:tc>
        <w:tc>
          <w:tcPr>
            <w:tcW w:type="dxa" w:w="1728"/>
          </w:tcPr>
          <w:p/>
        </w:tc>
        <w:tc>
          <w:tcPr>
            <w:tcW w:type="dxa" w:w="1728"/>
          </w:tcPr>
          <w:p/>
        </w:tc>
      </w:tr>
      <w:tr>
        <w:tc>
          <w:tcPr>
            <w:tcW w:type="dxa" w:w="1728"/>
          </w:tcPr>
          <w:p>
            <w:r>
              <w:t>次三奖次</w:t>
            </w:r>
          </w:p>
        </w:tc>
        <w:tc>
          <w:tcPr>
            <w:tcW w:type="dxa" w:w="1728"/>
          </w:tcPr>
          <w:p>
            <w:r>
              <w:t>20</w:t>
            </w:r>
          </w:p>
        </w:tc>
        <w:tc>
          <w:tcPr>
            <w:tcW w:type="dxa" w:w="1728"/>
          </w:tcPr>
          <w:p/>
        </w:tc>
        <w:tc>
          <w:tcPr>
            <w:tcW w:type="dxa" w:w="1728"/>
          </w:tcPr>
          <w:p/>
        </w:tc>
        <w:tc>
          <w:tcPr>
            <w:tcW w:type="dxa" w:w="1728"/>
          </w:tcPr>
          <w:p/>
        </w:tc>
      </w:tr>
      <w:tr>
        <w:tc>
          <w:tcPr>
            <w:tcW w:type="dxa" w:w="1728"/>
          </w:tcPr>
          <w:p>
            <w:r>
              <w:t>B类学科竞赛</w:t>
            </w:r>
          </w:p>
        </w:tc>
        <w:tc>
          <w:tcPr>
            <w:tcW w:type="dxa" w:w="1728"/>
          </w:tcPr>
          <w:p>
            <w:r>
              <w:t>最高奖次</w:t>
            </w:r>
          </w:p>
        </w:tc>
        <w:tc>
          <w:tcPr>
            <w:tcW w:type="dxa" w:w="1728"/>
          </w:tcPr>
          <w:p>
            <w:r>
              <w:t>70</w:t>
            </w:r>
          </w:p>
        </w:tc>
        <w:tc>
          <w:tcPr>
            <w:tcW w:type="dxa" w:w="1728"/>
          </w:tcPr>
          <w:p/>
        </w:tc>
        <w:tc>
          <w:tcPr>
            <w:tcW w:type="dxa" w:w="1728"/>
          </w:tcPr>
          <w:p/>
        </w:tc>
      </w:tr>
      <w:tr>
        <w:tc>
          <w:tcPr>
            <w:tcW w:type="dxa" w:w="1728"/>
          </w:tcPr>
          <w:p>
            <w:r>
              <w:t>次一奖次</w:t>
            </w:r>
          </w:p>
        </w:tc>
        <w:tc>
          <w:tcPr>
            <w:tcW w:type="dxa" w:w="1728"/>
          </w:tcPr>
          <w:p>
            <w:r>
              <w:t>35</w:t>
            </w:r>
          </w:p>
        </w:tc>
        <w:tc>
          <w:tcPr>
            <w:tcW w:type="dxa" w:w="1728"/>
          </w:tcPr>
          <w:p/>
        </w:tc>
        <w:tc>
          <w:tcPr>
            <w:tcW w:type="dxa" w:w="1728"/>
          </w:tcPr>
          <w:p/>
        </w:tc>
        <w:tc>
          <w:tcPr>
            <w:tcW w:type="dxa" w:w="1728"/>
          </w:tcPr>
          <w:p/>
        </w:tc>
      </w:tr>
      <w:tr>
        <w:tc>
          <w:tcPr>
            <w:tcW w:type="dxa" w:w="1728"/>
          </w:tcPr>
          <w:p>
            <w:r>
              <w:t>次二奖次</w:t>
            </w:r>
          </w:p>
        </w:tc>
        <w:tc>
          <w:tcPr>
            <w:tcW w:type="dxa" w:w="1728"/>
          </w:tcPr>
          <w:p>
            <w:r>
              <w:t>20</w:t>
            </w:r>
          </w:p>
        </w:tc>
        <w:tc>
          <w:tcPr>
            <w:tcW w:type="dxa" w:w="1728"/>
          </w:tcPr>
          <w:p/>
        </w:tc>
        <w:tc>
          <w:tcPr>
            <w:tcW w:type="dxa" w:w="1728"/>
          </w:tcPr>
          <w:p/>
        </w:tc>
        <w:tc>
          <w:tcPr>
            <w:tcW w:type="dxa" w:w="1728"/>
          </w:tcPr>
          <w:p/>
        </w:tc>
      </w:tr>
      <w:tr>
        <w:tc>
          <w:tcPr>
            <w:tcW w:type="dxa" w:w="1728"/>
          </w:tcPr>
          <w:p>
            <w:r>
              <w:t>次三奖次</w:t>
            </w:r>
          </w:p>
        </w:tc>
        <w:tc>
          <w:tcPr>
            <w:tcW w:type="dxa" w:w="1728"/>
          </w:tcPr>
          <w:p>
            <w:r>
              <w:t>10</w:t>
            </w:r>
          </w:p>
        </w:tc>
        <w:tc>
          <w:tcPr>
            <w:tcW w:type="dxa" w:w="1728"/>
          </w:tcPr>
          <w:p/>
        </w:tc>
        <w:tc>
          <w:tcPr>
            <w:tcW w:type="dxa" w:w="1728"/>
          </w:tcPr>
          <w:p/>
        </w:tc>
        <w:tc>
          <w:tcPr>
            <w:tcW w:type="dxa" w:w="1728"/>
          </w:tcPr>
          <w:p/>
        </w:tc>
      </w:tr>
      <w:tr>
        <w:tc>
          <w:tcPr>
            <w:tcW w:type="dxa" w:w="1728"/>
          </w:tcPr>
          <w:p>
            <w:r>
              <w:t>C类学科竞赛</w:t>
            </w:r>
          </w:p>
        </w:tc>
        <w:tc>
          <w:tcPr>
            <w:tcW w:type="dxa" w:w="1728"/>
          </w:tcPr>
          <w:p>
            <w:r>
              <w:t>最高奖次</w:t>
            </w:r>
          </w:p>
        </w:tc>
        <w:tc>
          <w:tcPr>
            <w:tcW w:type="dxa" w:w="1728"/>
          </w:tcPr>
          <w:p>
            <w:r>
              <w:t>50</w:t>
            </w:r>
          </w:p>
        </w:tc>
        <w:tc>
          <w:tcPr>
            <w:tcW w:type="dxa" w:w="1728"/>
          </w:tcPr>
          <w:p/>
        </w:tc>
        <w:tc>
          <w:tcPr>
            <w:tcW w:type="dxa" w:w="1728"/>
          </w:tcPr>
          <w:p/>
        </w:tc>
      </w:tr>
      <w:tr>
        <w:tc>
          <w:tcPr>
            <w:tcW w:type="dxa" w:w="1728"/>
          </w:tcPr>
          <w:p>
            <w:r>
              <w:t>次一奖次</w:t>
            </w:r>
          </w:p>
        </w:tc>
        <w:tc>
          <w:tcPr>
            <w:tcW w:type="dxa" w:w="1728"/>
          </w:tcPr>
          <w:p>
            <w:r>
              <w:t>25</w:t>
            </w:r>
          </w:p>
        </w:tc>
        <w:tc>
          <w:tcPr>
            <w:tcW w:type="dxa" w:w="1728"/>
          </w:tcPr>
          <w:p/>
        </w:tc>
        <w:tc>
          <w:tcPr>
            <w:tcW w:type="dxa" w:w="1728"/>
          </w:tcPr>
          <w:p/>
        </w:tc>
        <w:tc>
          <w:tcPr>
            <w:tcW w:type="dxa" w:w="1728"/>
          </w:tcPr>
          <w:p/>
        </w:tc>
      </w:tr>
      <w:tr>
        <w:tc>
          <w:tcPr>
            <w:tcW w:type="dxa" w:w="1728"/>
          </w:tcPr>
          <w:p>
            <w:r>
              <w:t>次二奖次</w:t>
            </w:r>
          </w:p>
        </w:tc>
        <w:tc>
          <w:tcPr>
            <w:tcW w:type="dxa" w:w="1728"/>
          </w:tcPr>
          <w:p>
            <w:r>
              <w:t>10</w:t>
            </w:r>
          </w:p>
        </w:tc>
        <w:tc>
          <w:tcPr>
            <w:tcW w:type="dxa" w:w="1728"/>
          </w:tcPr>
          <w:p/>
        </w:tc>
        <w:tc>
          <w:tcPr>
            <w:tcW w:type="dxa" w:w="1728"/>
          </w:tcPr>
          <w:p/>
        </w:tc>
        <w:tc>
          <w:tcPr>
            <w:tcW w:type="dxa" w:w="1728"/>
          </w:tcPr>
          <w:p/>
        </w:tc>
      </w:tr>
      <w:tr>
        <w:tc>
          <w:tcPr>
            <w:tcW w:type="dxa" w:w="1728"/>
          </w:tcPr>
          <w:p>
            <w:r>
              <w:t>次三奖次</w:t>
            </w:r>
          </w:p>
        </w:tc>
        <w:tc>
          <w:tcPr>
            <w:tcW w:type="dxa" w:w="1728"/>
          </w:tcPr>
          <w:p>
            <w:r>
              <w:t>5</w:t>
            </w:r>
          </w:p>
        </w:tc>
        <w:tc>
          <w:tcPr>
            <w:tcW w:type="dxa" w:w="1728"/>
          </w:tcPr>
          <w:p/>
        </w:tc>
        <w:tc>
          <w:tcPr>
            <w:tcW w:type="dxa" w:w="1728"/>
          </w:tcPr>
          <w:p/>
        </w:tc>
        <w:tc>
          <w:tcPr>
            <w:tcW w:type="dxa" w:w="1728"/>
          </w:tcPr>
          <w:p/>
        </w:tc>
      </w:tr>
    </w:tbl>
    <w:p>
      <w:r>
        <w:t>2.面试</w:t>
      </w:r>
    </w:p>
    <w:p>
      <w:r>
        <w:t>面试考核采用线上面试模式，面试平台为腾讯会议，面试全程录音录像。全面考核考生的思想政治素质与品德、基本素养、专业水平等，采用学术汇报、专业提问、现场答题相结合的方式进行。考生需准备汇报PPT（中英文均可，时间控制在10分钟之内）。</w:t>
      </w:r>
    </w:p>
    <w:p>
      <w:r>
        <w:t>（1）基本素质考核：重点考察考生本学科（专业）以外的学习、科研、社会实践（学生工作、社团活动、志愿服务等）或实际工作表现情况；事业心与责任感、遵纪守法意识、团队协作能力及心理健康状况；人文素养、言行举止、语言表达能力与礼仪规范等综合素养。</w:t>
      </w:r>
    </w:p>
    <w:p>
      <w:r>
        <w:t>（2）专业水平考核：重点考察考生大学本科阶段的学习情况及课程成绩；对本学科理论知识、专业应用技能的掌握程度，运用专业理论发现、分析并解决问题的能力；所取得的高水平科研创新成果与学科竞赛奖项；对本学科前沿发展动态的了解程度及专业发展潜力；创新意识与科研创新能力。</w:t>
      </w:r>
    </w:p>
    <w:p>
      <w:r>
        <w:t>面试专家组由本学科副教授及以上职称或相当专业技术职务专家组成，人数不少于5人。面试满分为100分。每名考生的面试时间原则上不少于20分钟。专家组根据面试表现独立打分，最终得出百分制面试成绩。</w:t>
      </w:r>
    </w:p>
    <w:p>
      <w:r>
        <w:t>面试成绩计算公式：面试成绩=基本素质考核（100分）× 3 0 %+专业水平考核（100分）× 7 0 %</w:t>
      </w:r>
    </w:p>
    <w:p>
      <w:r>
        <w:t>（三）综合考核成绩计算</w:t>
      </w:r>
    </w:p>
    <w:p>
      <w:r>
        <w:t>综合考核成绩满分为100分，由材料审核成绩和面试成绩两部分组成，具体计算方式为：综合考核成绩=材料审核成绩（100分）× 30%+面试成绩（100分）× 70%。思想政治素质和道德品质考核不作量化计入总成绩，但考核结果不合格者不予录取。综合考核成绩低于60分者，不予录取。</w:t>
      </w:r>
    </w:p>
    <w:p>
      <w:r>
        <w:t>（四）录取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直博生拟录取须符合我校直博生招生文件相关要求，确保招生程序合规、选拔标准达标。</w:t>
      </w:r>
    </w:p>
    <w:p>
      <w:r>
        <w:t>五、招收推免资助与奖励政策</w:t>
      </w:r>
    </w:p>
    <w:p>
      <w:r>
        <w:t>1.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2.录取为硕士的推免生可优先选择指导教师，同等条件下可优先获得硕博连读推荐资格。</w:t>
      </w:r>
    </w:p>
    <w:p>
      <w:r>
        <w:t>六、其他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3.直博生的招收按照《南京工业大学直接攻读博士学位研究生招生工作办法（2026年修订）》文件要求执行。</w:t>
      </w:r>
    </w:p>
    <w:p>
      <w:r>
        <w:t>4.已被招收的推免生不得再参加全国硕士研究生入学考试。在入学报到时未获得本科毕业证书者，学校将取消其录取资格。</w:t>
      </w:r>
    </w:p>
    <w:p>
      <w:r>
        <w:t>5.推免生综合考核期间不安排体格检查，体检工作统一放在转年入学报到时进行。</w:t>
      </w:r>
    </w:p>
    <w:p>
      <w:r>
        <w:t>6.本细则由南京工业大学化工学院研究生招生工作小组制定并负责解释。保障及监督机制依照《南京工业大学推荐免试研究生招生录取工作办法》执行。</w:t>
      </w:r>
    </w:p>
    <w:p>
      <w:r>
        <w:t>七、联系方式</w:t>
      </w:r>
    </w:p>
    <w:p>
      <w:r>
        <w:t>网址：https://hgy.njtech.edu.cn/（化工学院官网）</w:t>
      </w:r>
    </w:p>
    <w:p>
      <w:r>
        <w:t>https://gra.njtech.edu.cn/zsw/（研究生招生网）</w:t>
      </w:r>
    </w:p>
    <w:p>
      <w:r>
        <w:t>咨询电话：025-83587816（化工学院）</w:t>
      </w:r>
    </w:p>
    <w:p>
      <w:r>
        <w:t>025-58139194（南京工业大学研招办）</w:t>
      </w:r>
    </w:p>
    <w:p>
      <w:r>
        <w:t>联系人：王老师、张老师</w:t>
      </w:r>
    </w:p>
    <w:p>
      <w:r>
        <w:t>报考材料寄送地址：江苏省南京市江北新区浦珠南路30号沉毅南楼319办公室（邮编：211816），联系人：王老师，025-83587816。</w:t>
      </w:r>
    </w:p>
    <w:p>
      <w:r>
        <w:t>化工学院</w:t>
      </w:r>
    </w:p>
    <w:p>
      <w:r>
        <w:t>2026年9月18日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