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化工学院2024年推荐优秀应届本科毕业生免试攻读硕士学位研究生办法</w:t>
      </w:r>
    </w:p>
    <w:p>
      <w:r>
        <w:t>推荐优秀应届本科毕业生免试攻读研究生（以下简称推免）是研究生多元招生录取机制的重要组成部分，是加强拔尖创新人才选拔，推动高校提高人才培养质量的重要举措，是激励在校本科生勤奋学习、勇于创新、全面发展的有效手段。按照教育部推免工作相关文件和学校相关要求，特制定我院推荐优秀应届本科毕业生免试攻读硕士学位研究生实施办法。</w:t>
      </w:r>
    </w:p>
    <w:p>
      <w:r>
        <w:t>一、综合考核打分细则</w:t>
      </w:r>
    </w:p>
    <w:p>
      <w:r>
        <w:t>（一）参军入伍服兵役（满分20分）</w:t>
      </w:r>
    </w:p>
    <w:p>
      <w:r>
        <w:t>有参军入伍服兵役经历者（服役年限为两年），凭相关证明，计20分。</w:t>
      </w:r>
    </w:p>
    <w:p>
      <w:r>
        <w:t>（二）参加志愿服务（满分10分）</w:t>
      </w:r>
    </w:p>
    <w:p>
      <w:r>
        <w:t>本科期间参加国家级活动志愿服务，计10分；参加省级活动志愿服务，计8分；参加市级活动志愿服务，计6分。要求提供证书或相关活动组织单位出具的证明，否则视为无效。若存在以上多项计分情况，原则上只取一项。</w:t>
      </w:r>
    </w:p>
    <w:p>
      <w:r>
        <w:t>（三）国际组织实习（满分10分）</w:t>
      </w:r>
    </w:p>
    <w:p>
      <w:r>
        <w:t>本科期间参加国际组织的实习并提供相关单位开具的实习证明，实习期3个月及以上，计10分；1-3个月，计8分；15天-1个月，计6分。若存在以上多项计分情况，原则上只取一项。</w:t>
      </w:r>
    </w:p>
    <w:p>
      <w:r>
        <w:t>（四）科研成果（满分30分）</w:t>
      </w:r>
    </w:p>
    <w:tbl>
      <w:tblPr>
        <w:tblStyle w:val="TableGrid"/>
        <w:tblW w:type="auto" w:w="0"/>
        <w:tblLook w:firstColumn="1" w:firstRow="1" w:lastColumn="0" w:lastRow="0" w:noHBand="0" w:noVBand="1" w:val="04A0"/>
      </w:tblPr>
      <w:tblGrid>
        <w:gridCol w:w="4320"/>
        <w:gridCol w:w="4320"/>
      </w:tblGrid>
      <w:tr>
        <w:tc>
          <w:tcPr>
            <w:tcW w:type="dxa" w:w="4320"/>
          </w:tcPr>
          <w:p>
            <w:r>
              <w:t>类别</w:t>
            </w:r>
          </w:p>
        </w:tc>
        <w:tc>
          <w:tcPr>
            <w:tcW w:type="dxa" w:w="4320"/>
          </w:tcPr>
          <w:p>
            <w:r>
              <w:t>排名第一（分）</w:t>
            </w:r>
          </w:p>
        </w:tc>
      </w:tr>
      <w:tr>
        <w:tc>
          <w:tcPr>
            <w:tcW w:type="dxa" w:w="4320"/>
          </w:tcPr>
          <w:p>
            <w:r>
              <w:t>SCI一区论文</w:t>
            </w:r>
          </w:p>
        </w:tc>
        <w:tc>
          <w:tcPr>
            <w:tcW w:type="dxa" w:w="4320"/>
          </w:tcPr>
          <w:p>
            <w:r>
              <w:t>30</w:t>
            </w:r>
          </w:p>
        </w:tc>
      </w:tr>
      <w:tr>
        <w:tc>
          <w:tcPr>
            <w:tcW w:type="dxa" w:w="4320"/>
          </w:tcPr>
          <w:p>
            <w:r>
              <w:t>SCI二区论文</w:t>
            </w:r>
          </w:p>
        </w:tc>
        <w:tc>
          <w:tcPr>
            <w:tcW w:type="dxa" w:w="4320"/>
          </w:tcPr>
          <w:p>
            <w:r>
              <w:t>25</w:t>
            </w:r>
          </w:p>
        </w:tc>
      </w:tr>
      <w:tr>
        <w:tc>
          <w:tcPr>
            <w:tcW w:type="dxa" w:w="4320"/>
          </w:tcPr>
          <w:p>
            <w:r>
              <w:t>SCI三区论文</w:t>
            </w:r>
          </w:p>
        </w:tc>
        <w:tc>
          <w:tcPr>
            <w:tcW w:type="dxa" w:w="4320"/>
          </w:tcPr>
          <w:p>
            <w:r>
              <w:t>20</w:t>
            </w:r>
          </w:p>
        </w:tc>
      </w:tr>
      <w:tr>
        <w:tc>
          <w:tcPr>
            <w:tcW w:type="dxa" w:w="4320"/>
          </w:tcPr>
          <w:p>
            <w:r>
              <w:t>SCI四区论文</w:t>
            </w:r>
          </w:p>
        </w:tc>
        <w:tc>
          <w:tcPr>
            <w:tcW w:type="dxa" w:w="4320"/>
          </w:tcPr>
          <w:p>
            <w:r>
              <w:t>15</w:t>
            </w:r>
          </w:p>
        </w:tc>
      </w:tr>
      <w:tr>
        <w:tc>
          <w:tcPr>
            <w:tcW w:type="dxa" w:w="4320"/>
          </w:tcPr>
          <w:p>
            <w:r>
              <w:t>EI期刊论文</w:t>
            </w:r>
          </w:p>
        </w:tc>
        <w:tc>
          <w:tcPr>
            <w:tcW w:type="dxa" w:w="4320"/>
          </w:tcPr>
          <w:p>
            <w:r>
              <w:t>10</w:t>
            </w:r>
          </w:p>
        </w:tc>
      </w:tr>
      <w:tr>
        <w:tc>
          <w:tcPr>
            <w:tcW w:type="dxa" w:w="4320"/>
          </w:tcPr>
          <w:p>
            <w:r>
              <w:t>中文核心期刊</w:t>
            </w:r>
          </w:p>
        </w:tc>
        <w:tc>
          <w:tcPr>
            <w:tcW w:type="dxa" w:w="4320"/>
          </w:tcPr>
          <w:p>
            <w:r>
              <w:t>10</w:t>
            </w:r>
          </w:p>
        </w:tc>
      </w:tr>
      <w:tr>
        <w:tc>
          <w:tcPr>
            <w:tcW w:type="dxa" w:w="4320"/>
          </w:tcPr>
          <w:p>
            <w:r>
              <w:t>获得国际专利</w:t>
            </w:r>
          </w:p>
        </w:tc>
        <w:tc>
          <w:tcPr>
            <w:tcW w:type="dxa" w:w="4320"/>
          </w:tcPr>
          <w:p>
            <w:r>
              <w:t>30</w:t>
            </w:r>
          </w:p>
        </w:tc>
      </w:tr>
      <w:tr>
        <w:tc>
          <w:tcPr>
            <w:tcW w:type="dxa" w:w="4320"/>
          </w:tcPr>
          <w:p>
            <w:r>
              <w:t>申请国际专利</w:t>
            </w:r>
          </w:p>
        </w:tc>
        <w:tc>
          <w:tcPr>
            <w:tcW w:type="dxa" w:w="4320"/>
          </w:tcPr>
          <w:p>
            <w:r>
              <w:t>25</w:t>
            </w:r>
          </w:p>
        </w:tc>
      </w:tr>
      <w:tr>
        <w:tc>
          <w:tcPr>
            <w:tcW w:type="dxa" w:w="4320"/>
          </w:tcPr>
          <w:p>
            <w:r>
              <w:t>获得中国发明专利</w:t>
            </w:r>
          </w:p>
        </w:tc>
        <w:tc>
          <w:tcPr>
            <w:tcW w:type="dxa" w:w="4320"/>
          </w:tcPr>
          <w:p>
            <w:r>
              <w:t>20</w:t>
            </w:r>
          </w:p>
        </w:tc>
      </w:tr>
      <w:tr>
        <w:tc>
          <w:tcPr>
            <w:tcW w:type="dxa" w:w="4320"/>
          </w:tcPr>
          <w:p>
            <w:r>
              <w:t>注：①暂无影响因子的新期刊，按照四区计分；②仅限独立作者或第一作者发表的与学业相关的科研论文、专利；③期刊论文应以南京工业大学为第一署名单位；④若存在以上多项计分情况，原则上只取一项。</w:t>
            </w:r>
          </w:p>
        </w:tc>
        <w:tc>
          <w:tcPr>
            <w:tcW w:type="dxa" w:w="4320"/>
          </w:tcPr>
          <w:p/>
        </w:tc>
      </w:tr>
    </w:tbl>
    <w:p>
      <w:r>
        <w:t>（五）竞赛获奖（满分30分）</w:t>
      </w:r>
    </w:p>
    <w:p>
      <w:r>
        <w:t>本科期间参加竞赛等级的认定原则上按照南工校教〔2021〕34号《南京工业大学大学生学科竞赛和创新创业实践活动奖励办法》执行；竞赛获奖证书中排名第一的学生，计分系数为1.0，其他排名，计分系数为0.8；若存在多项计分情况，原则上只取一项。</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最高等级(分)</w:t>
            </w:r>
          </w:p>
        </w:tc>
        <w:tc>
          <w:tcPr>
            <w:tcW w:type="dxa" w:w="1728"/>
          </w:tcPr>
          <w:p>
            <w:r>
              <w:t>次一等级(分)</w:t>
            </w:r>
          </w:p>
        </w:tc>
        <w:tc>
          <w:tcPr>
            <w:tcW w:type="dxa" w:w="1728"/>
          </w:tcPr>
          <w:p>
            <w:r>
              <w:t>次二等级(分)</w:t>
            </w:r>
          </w:p>
        </w:tc>
        <w:tc>
          <w:tcPr>
            <w:tcW w:type="dxa" w:w="1728"/>
          </w:tcPr>
          <w:p/>
        </w:tc>
      </w:tr>
      <w:tr>
        <w:tc>
          <w:tcPr>
            <w:tcW w:type="dxa" w:w="1728"/>
          </w:tcPr>
          <w:p>
            <w:r>
              <w:t>国家A类竞赛</w:t>
            </w:r>
          </w:p>
        </w:tc>
        <w:tc>
          <w:tcPr>
            <w:tcW w:type="dxa" w:w="1728"/>
          </w:tcPr>
          <w:p>
            <w:r>
              <w:t>国家级</w:t>
            </w:r>
          </w:p>
        </w:tc>
        <w:tc>
          <w:tcPr>
            <w:tcW w:type="dxa" w:w="1728"/>
          </w:tcPr>
          <w:p>
            <w:r>
              <w:t>30</w:t>
            </w:r>
          </w:p>
        </w:tc>
        <w:tc>
          <w:tcPr>
            <w:tcW w:type="dxa" w:w="1728"/>
          </w:tcPr>
          <w:p>
            <w:r>
              <w:t>15</w:t>
            </w:r>
          </w:p>
        </w:tc>
        <w:tc>
          <w:tcPr>
            <w:tcW w:type="dxa" w:w="1728"/>
          </w:tcPr>
          <w:p>
            <w:r>
              <w:t>8</w:t>
            </w:r>
          </w:p>
        </w:tc>
      </w:tr>
      <w:tr>
        <w:tc>
          <w:tcPr>
            <w:tcW w:type="dxa" w:w="1728"/>
          </w:tcPr>
          <w:p>
            <w:r>
              <w:t>国家B类竞赛</w:t>
            </w:r>
          </w:p>
        </w:tc>
        <w:tc>
          <w:tcPr>
            <w:tcW w:type="dxa" w:w="1728"/>
          </w:tcPr>
          <w:p>
            <w:r>
              <w:t>国家级</w:t>
            </w:r>
          </w:p>
        </w:tc>
        <w:tc>
          <w:tcPr>
            <w:tcW w:type="dxa" w:w="1728"/>
          </w:tcPr>
          <w:p>
            <w:r>
              <w:t>25</w:t>
            </w:r>
          </w:p>
        </w:tc>
        <w:tc>
          <w:tcPr>
            <w:tcW w:type="dxa" w:w="1728"/>
          </w:tcPr>
          <w:p>
            <w:r>
              <w:t>13</w:t>
            </w:r>
          </w:p>
        </w:tc>
        <w:tc>
          <w:tcPr>
            <w:tcW w:type="dxa" w:w="1728"/>
          </w:tcPr>
          <w:p>
            <w:r>
              <w:t>6</w:t>
            </w:r>
          </w:p>
        </w:tc>
      </w:tr>
      <w:tr>
        <w:tc>
          <w:tcPr>
            <w:tcW w:type="dxa" w:w="1728"/>
          </w:tcPr>
          <w:p>
            <w:r>
              <w:t>国家C类竞赛</w:t>
            </w:r>
          </w:p>
        </w:tc>
        <w:tc>
          <w:tcPr>
            <w:tcW w:type="dxa" w:w="1728"/>
          </w:tcPr>
          <w:p>
            <w:r>
              <w:t>国家级</w:t>
            </w:r>
          </w:p>
        </w:tc>
        <w:tc>
          <w:tcPr>
            <w:tcW w:type="dxa" w:w="1728"/>
          </w:tcPr>
          <w:p>
            <w:r>
              <w:t>20</w:t>
            </w:r>
          </w:p>
        </w:tc>
        <w:tc>
          <w:tcPr>
            <w:tcW w:type="dxa" w:w="1728"/>
          </w:tcPr>
          <w:p>
            <w:r>
              <w:t>10</w:t>
            </w:r>
          </w:p>
        </w:tc>
        <w:tc>
          <w:tcPr>
            <w:tcW w:type="dxa" w:w="1728"/>
          </w:tcPr>
          <w:p>
            <w:r>
              <w:t>5</w:t>
            </w:r>
          </w:p>
        </w:tc>
      </w:tr>
      <w:tr>
        <w:tc>
          <w:tcPr>
            <w:tcW w:type="dxa" w:w="1728"/>
          </w:tcPr>
          <w:p>
            <w:r>
              <w:t>国家D类竞赛</w:t>
            </w:r>
          </w:p>
        </w:tc>
        <w:tc>
          <w:tcPr>
            <w:tcW w:type="dxa" w:w="1728"/>
          </w:tcPr>
          <w:p>
            <w:r>
              <w:t>国家级</w:t>
            </w:r>
          </w:p>
        </w:tc>
        <w:tc>
          <w:tcPr>
            <w:tcW w:type="dxa" w:w="1728"/>
          </w:tcPr>
          <w:p>
            <w:r>
              <w:t>15</w:t>
            </w:r>
          </w:p>
        </w:tc>
        <w:tc>
          <w:tcPr>
            <w:tcW w:type="dxa" w:w="1728"/>
          </w:tcPr>
          <w:p>
            <w:r>
              <w:t>8</w:t>
            </w:r>
          </w:p>
        </w:tc>
        <w:tc>
          <w:tcPr>
            <w:tcW w:type="dxa" w:w="1728"/>
          </w:tcPr>
          <w:p>
            <w:r>
              <w:t>4</w:t>
            </w:r>
          </w:p>
        </w:tc>
      </w:tr>
      <w:tr>
        <w:tc>
          <w:tcPr>
            <w:tcW w:type="dxa" w:w="1728"/>
          </w:tcPr>
          <w:p>
            <w:r>
              <w:t>注：①若存在以上多项计分情况，原则上只取一项。</w:t>
            </w:r>
          </w:p>
        </w:tc>
        <w:tc>
          <w:tcPr>
            <w:tcW w:type="dxa" w:w="1728"/>
          </w:tcPr>
          <w:p/>
        </w:tc>
        <w:tc>
          <w:tcPr>
            <w:tcW w:type="dxa" w:w="1728"/>
          </w:tcPr>
          <w:p/>
        </w:tc>
        <w:tc>
          <w:tcPr>
            <w:tcW w:type="dxa" w:w="1728"/>
          </w:tcPr>
          <w:p/>
        </w:tc>
        <w:tc>
          <w:tcPr>
            <w:tcW w:type="dxa" w:w="1728"/>
          </w:tcPr>
          <w:p/>
        </w:tc>
      </w:tr>
    </w:tbl>
    <w:p>
      <w:r>
        <w:t>综合考核成绩（满分100分）=参军入伍服兵役（满分20分）+参加志愿服务（满分10分）+国际组织实习（满分10分）+科研成果（满分30分）+竞赛获奖（满分30分）</w:t>
      </w:r>
    </w:p>
    <w:p>
      <w:r>
        <w:t>其中，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学院将从严把握。学院将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给出明确审核鉴定意见并签字存档。答辩全程录音录像，答辩结果公开公示。通过审核鉴定或答辩的学生特殊学术专长，须在推免系统和学院网站上予以公示。未通过审核鉴定或答辩的，不纳入推免遴选综合评价成绩计算体系。</w:t>
      </w:r>
    </w:p>
    <w:p>
      <w:r>
        <w:t>二、推免成绩组成</w:t>
      </w:r>
    </w:p>
    <w:p>
      <w:r>
        <w:t>总成绩=课程成绩*85%+全面发展综合考核成绩*15%，总成绩由高到低排序。</w:t>
      </w:r>
    </w:p>
    <w:p>
      <w:r>
        <w:t>三、推免工作回避制度实施细则</w:t>
      </w:r>
    </w:p>
    <w:p>
      <w:r>
        <w:t>化工学院推免工作实行回避制度。推免相关工作人员有直系亲属或利益相关人员报名参加本学院推免招生的应主动申请回避，有非直系亲属等报名参加推免招生的要主动报备。相关学生申请推免资格时也应主动向学院报备声明。对未按规定报备声明回避关系的推免相关工作人员，学院将依规依纪严肃处理；对未按规定报备声明回避关系且影响推免过程和结果公平公正的学生，将取消其推免资格。</w:t>
      </w:r>
    </w:p>
    <w:p>
      <w:r>
        <w:t>四、信息公开及投诉途径等</w:t>
      </w:r>
    </w:p>
    <w:p>
      <w:r>
        <w:t>学院公示推免生初选名单，未经公示的一律无效。师生对推免结果有异议可及时向学院反映。</w:t>
      </w:r>
    </w:p>
    <w:p>
      <w:r>
        <w:t>学院电话：025-83587770，邮箱hgxy@njtech.edu.cn。</w:t>
      </w:r>
    </w:p>
    <w:p>
      <w:r>
        <w:t>五、其他</w:t>
      </w:r>
    </w:p>
    <w:p>
      <w:r>
        <w:t>本办法由化工学院推荐优秀应届本科毕业生免试攻读研究生遴选工作小组制定并负责解释。</w:t>
      </w:r>
    </w:p>
    <w:p>
      <w:r>
        <w:t>化工学院</w:t>
      </w:r>
    </w:p>
    <w:p>
      <w:r>
        <w:t>2023年9月15日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