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化学与分子工程学院2027年推荐免试研究生（含直博生）招生综合考核实施细则</w:t>
      </w:r>
    </w:p>
    <w:p>
      <w:r>
        <w:t>为做好我院2027年推荐免试研究生（含直博生）招生工作，根据《全国高等学校推荐优秀应届本科毕业生免试攻读研究生工作管理规定》《南京工业大学推荐免试研究生招生录取工作办法》等有关文件精神，结合学院工作实际，制定本细则，具体如下：</w:t>
      </w:r>
    </w:p>
    <w:p>
      <w:r>
        <w:t>一、招生专业</w:t>
      </w:r>
    </w:p>
    <w:p>
      <w:r>
        <w:t>硕士研究生：070300化学、081700化学工程与技术、</w:t>
      </w:r>
    </w:p>
    <w:p>
      <w:r>
        <w:t>085600材料与化工（专业学位）</w:t>
      </w:r>
    </w:p>
    <w:p>
      <w:r>
        <w:t>直博生：070300化学、081700化学工程与技术、</w:t>
      </w:r>
    </w:p>
    <w:p>
      <w:r>
        <w:t>080500材料科学与工程、080700动力工程及工程热物理</w:t>
      </w:r>
    </w:p>
    <w:p>
      <w:r>
        <w:t>二、申请基本条件</w:t>
      </w:r>
    </w:p>
    <w:p>
      <w:r>
        <w:t>1.中华人民共和国公民，拥护中国共产党领导，品德良好，遵纪守法。</w:t>
      </w:r>
    </w:p>
    <w:p>
      <w:r>
        <w:t>2.身体健康状况符合国家和专业规定的体检要求，心理健康状况良好。</w:t>
      </w:r>
    </w:p>
    <w:p>
      <w:r>
        <w:t>3.本科阶段学习成绩优秀，专业成绩或综合成绩名列本专业前茅。</w:t>
      </w:r>
    </w:p>
    <w:p>
      <w:r>
        <w:t>4.获得所在学校当年推荐免试资格。</w:t>
      </w:r>
    </w:p>
    <w:p>
      <w:r>
        <w:t>5.诚实守信、品行端正、学风优良，本科学习期间无任何违法违纪受处分记录。</w:t>
      </w:r>
    </w:p>
    <w:p>
      <w:r>
        <w:t>6.申请直博者，除满足以上条件外，还需专业基础扎实，对科学研究兴趣浓厚，具有较强的科研创新能力和博士生培养潜质。按双向选择原则，申请人应报名前征得拟报考导师的同意。</w:t>
      </w:r>
    </w:p>
    <w:p>
      <w:r>
        <w:t>三、申请材料要求</w:t>
      </w:r>
    </w:p>
    <w:p>
      <w:r>
        <w:t>申请人需向学院提供以下申请材料：</w:t>
      </w:r>
    </w:p>
    <w:p>
      <w:r>
        <w:t>1.本人学生证、身份证复印件各一份，原件备查；</w:t>
      </w:r>
    </w:p>
    <w:p>
      <w:r>
        <w:t>2.加盖推荐学校教务部门公章的本科成绩单；</w:t>
      </w:r>
    </w:p>
    <w:p>
      <w:r>
        <w:t>3.外语水平证明复印件：大学英语四、六级考试，托福、雅思等证书或成绩单；</w:t>
      </w:r>
    </w:p>
    <w:p>
      <w:r>
        <w:t>4.其他科研创新证明材料复印件：公开发表的学术论文、专利、学科竞赛获奖证书等，以及其他可以证明综合能力与创新水平的材料（没有可不提供）；</w:t>
      </w:r>
    </w:p>
    <w:p>
      <w:r>
        <w:t>5.《南京工业大学招收推荐免试研究生思想政治品德考核表》，由推荐学校所在院（系）党组织填写并加盖公章；</w:t>
      </w:r>
    </w:p>
    <w:p>
      <w:r>
        <w:t>6.本人签名的《南京工业大学推荐免试研究生综合考核诚信承诺书》；</w:t>
      </w:r>
    </w:p>
    <w:p>
      <w:r>
        <w:t>7.直博生除提供1-6项材料外，还应提供：（1）两名具有教授或相当职称的相关学科专业领域专家撰写的推荐信；（2）个人科研计划书一份（2000字左右，全面考察推免生专业基础、科研思维、创新潜力与学术发展规划）。</w:t>
      </w:r>
    </w:p>
    <w:p>
      <w:r>
        <w:t>申请人须将上述个人申请材料按顺序整理，所提供材料均采用A4纸大小，提交PDF电子版和纸质版各1份，电子版文件命名规范为“姓名—本科院校—报考类型（推免/直博）”，纸质版材料请用A4纸按顺序排列装订成册。</w:t>
      </w:r>
    </w:p>
    <w:p>
      <w:r>
        <w:t>提交方式：1、电子版发送至邮箱chem@njtech.edu.cn。2、纸质版邮寄必须通过邮政EMS，以邮戳为准。申请材料需在规定时间递交我院，一经收到，恕不退还。</w:t>
      </w:r>
    </w:p>
    <w:p>
      <w:r>
        <w:t>四、招收推免流程</w:t>
      </w:r>
    </w:p>
    <w:p>
      <w:r>
        <w:t>（一）报名及综合考核时间安排</w:t>
      </w:r>
    </w:p>
    <w:p>
      <w:r>
        <w:t>申请人应在规定时间内通过“全国推荐免试攻读研究生（免初试、转段）信息公开暨管理服务系统”网址：https://yz.chsi.com.cn/tm，以下简称“推免服务系统”进行报名，并参加推免综合考核。综合考核包括材料审核、面试两部分组成。</w:t>
      </w:r>
    </w:p>
    <w:p>
      <w:r>
        <w:t>成功报名后，电子版申请材料应于推免生系统报名成功后的48小时内提交，纸质版材料应于2026年10月15日前寄出，以邮戳时间为准。</w:t>
      </w:r>
    </w:p>
    <w:p>
      <w:r>
        <w:t>面试具体时间、地点，由学院与考生协商确定并通知，本年度学院综合考核工作将在2026年10月17日前全部完成。</w:t>
      </w:r>
    </w:p>
    <w:p>
      <w:r>
        <w:t>（二）综合考核内容及要求</w:t>
      </w:r>
    </w:p>
    <w:p>
      <w:r>
        <w:t>1.材料审核</w:t>
      </w:r>
    </w:p>
    <w:p>
      <w:r>
        <w:t>在学院研究生招生工作小组指导下，学院成立不少于5人的材料审核专家组，专家组成员为本学科副教授及以上职称或具有相当专业技术职务。专家组负责对考生科研创新成果（含学术论文和专利）、竞赛获奖等材料开展审核并进行独立打分（百分制）。进入综合面试的人选名单，经学院研究生招生工作小组审核后报送研究生院，公示参加面试考核的名单。</w:t>
      </w:r>
    </w:p>
    <w:p>
      <w:r>
        <w:t>材料审核成绩满分100分，包括基础成绩，竞赛获奖和科研创新能力三部分。材料审核成绩计算公式为：</w:t>
      </w:r>
    </w:p>
    <w:p>
      <w:r>
        <w:t>材料审核成绩=基础成绩（100分）× 70% +竞赛获奖（100分）× 15%+科研创新成果（100分）× 15%。</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认定级别</w:t>
            </w:r>
          </w:p>
        </w:tc>
        <w:tc>
          <w:tcPr>
            <w:tcW w:type="dxa" w:w="1728"/>
          </w:tcPr>
          <w:p>
            <w:r>
              <w:t>要求</w:t>
            </w:r>
          </w:p>
        </w:tc>
        <w:tc>
          <w:tcPr>
            <w:tcW w:type="dxa" w:w="1728"/>
          </w:tcPr>
          <w:p>
            <w:r>
              <w:t>分值</w:t>
            </w:r>
          </w:p>
        </w:tc>
        <w:tc>
          <w:tcPr>
            <w:tcW w:type="dxa" w:w="1728"/>
          </w:tcPr>
          <w:p>
            <w:r>
              <w:t>备注</w:t>
            </w:r>
          </w:p>
        </w:tc>
      </w:tr>
      <w:tr>
        <w:tc>
          <w:tcPr>
            <w:tcW w:type="dxa" w:w="1728"/>
          </w:tcPr>
          <w:p>
            <w:r>
              <w:t>科研创新成果</w:t>
            </w:r>
          </w:p>
        </w:tc>
        <w:tc>
          <w:tcPr>
            <w:tcW w:type="dxa" w:w="1728"/>
          </w:tcPr>
          <w:p>
            <w:r>
              <w:t>SCI一区论文</w:t>
            </w:r>
          </w:p>
        </w:tc>
        <w:tc>
          <w:tcPr>
            <w:tcW w:type="dxa" w:w="1728"/>
          </w:tcPr>
          <w:p>
            <w:r>
              <w:t>独立作者或第一作者或指导老师为第一作者、学生为第二作者，提供证明材料</w:t>
            </w:r>
          </w:p>
        </w:tc>
        <w:tc>
          <w:tcPr>
            <w:tcW w:type="dxa" w:w="1728"/>
          </w:tcPr>
          <w:p>
            <w:r>
              <w:t>100</w:t>
            </w:r>
          </w:p>
        </w:tc>
        <w:tc>
          <w:tcPr>
            <w:tcW w:type="dxa" w:w="1728"/>
          </w:tcPr>
          <w:p>
            <w:r>
              <w:t>①论文分区以中科院分区为准。以正式见刊或录用通知为准。②学生与其亲属及其他利益相关者合作的科研成果，不纳入加分指标认定范围。③加分根据作者排名情况乘以相应系数：申请学生为独立第一作者，系数为1；共同第一作者，申请学生排名第一或者指导老师排名第一、申请学生排名第二，系数为1/n(n，共同第一作者中所有学生作者人数）；指导教师为第一作者，申请学生为第二作者，系数为0.5。④按最高项记，不累加。</w:t>
            </w:r>
          </w:p>
        </w:tc>
      </w:tr>
      <w:tr>
        <w:tc>
          <w:tcPr>
            <w:tcW w:type="dxa" w:w="1728"/>
          </w:tcPr>
          <w:p>
            <w:r>
              <w:t>SCI二区论文</w:t>
            </w:r>
          </w:p>
        </w:tc>
        <w:tc>
          <w:tcPr>
            <w:tcW w:type="dxa" w:w="1728"/>
          </w:tcPr>
          <w:p>
            <w:r>
              <w:t>80</w:t>
            </w:r>
          </w:p>
        </w:tc>
        <w:tc>
          <w:tcPr>
            <w:tcW w:type="dxa" w:w="1728"/>
          </w:tcPr>
          <w:p/>
        </w:tc>
        <w:tc>
          <w:tcPr>
            <w:tcW w:type="dxa" w:w="1728"/>
          </w:tcPr>
          <w:p/>
        </w:tc>
        <w:tc>
          <w:tcPr>
            <w:tcW w:type="dxa" w:w="1728"/>
          </w:tcPr>
          <w:p/>
        </w:tc>
      </w:tr>
      <w:tr>
        <w:tc>
          <w:tcPr>
            <w:tcW w:type="dxa" w:w="1728"/>
          </w:tcPr>
          <w:p>
            <w:r>
              <w:t>SCI三区论文</w:t>
            </w:r>
          </w:p>
        </w:tc>
        <w:tc>
          <w:tcPr>
            <w:tcW w:type="dxa" w:w="1728"/>
          </w:tcPr>
          <w:p>
            <w:r>
              <w:t>60</w:t>
            </w:r>
          </w:p>
        </w:tc>
        <w:tc>
          <w:tcPr>
            <w:tcW w:type="dxa" w:w="1728"/>
          </w:tcPr>
          <w:p/>
        </w:tc>
        <w:tc>
          <w:tcPr>
            <w:tcW w:type="dxa" w:w="1728"/>
          </w:tcPr>
          <w:p/>
        </w:tc>
        <w:tc>
          <w:tcPr>
            <w:tcW w:type="dxa" w:w="1728"/>
          </w:tcPr>
          <w:p/>
        </w:tc>
      </w:tr>
      <w:tr>
        <w:tc>
          <w:tcPr>
            <w:tcW w:type="dxa" w:w="1728"/>
          </w:tcPr>
          <w:p>
            <w:r>
              <w:t>SCI四区论文</w:t>
            </w:r>
          </w:p>
        </w:tc>
        <w:tc>
          <w:tcPr>
            <w:tcW w:type="dxa" w:w="1728"/>
          </w:tcPr>
          <w:p>
            <w:r>
              <w:t>40</w:t>
            </w:r>
          </w:p>
        </w:tc>
        <w:tc>
          <w:tcPr>
            <w:tcW w:type="dxa" w:w="1728"/>
          </w:tcPr>
          <w:p/>
        </w:tc>
        <w:tc>
          <w:tcPr>
            <w:tcW w:type="dxa" w:w="1728"/>
          </w:tcPr>
          <w:p/>
        </w:tc>
        <w:tc>
          <w:tcPr>
            <w:tcW w:type="dxa" w:w="1728"/>
          </w:tcPr>
          <w:p/>
        </w:tc>
      </w:tr>
      <w:tr>
        <w:tc>
          <w:tcPr>
            <w:tcW w:type="dxa" w:w="1728"/>
          </w:tcPr>
          <w:p>
            <w:r>
              <w:t>EI论文</w:t>
            </w:r>
          </w:p>
        </w:tc>
        <w:tc>
          <w:tcPr>
            <w:tcW w:type="dxa" w:w="1728"/>
          </w:tcPr>
          <w:p>
            <w:r>
              <w:t>40</w:t>
            </w:r>
          </w:p>
        </w:tc>
        <w:tc>
          <w:tcPr>
            <w:tcW w:type="dxa" w:w="1728"/>
          </w:tcPr>
          <w:p/>
        </w:tc>
        <w:tc>
          <w:tcPr>
            <w:tcW w:type="dxa" w:w="1728"/>
          </w:tcPr>
          <w:p/>
        </w:tc>
        <w:tc>
          <w:tcPr>
            <w:tcW w:type="dxa" w:w="1728"/>
          </w:tcPr>
          <w:p/>
        </w:tc>
      </w:tr>
      <w:tr>
        <w:tc>
          <w:tcPr>
            <w:tcW w:type="dxa" w:w="1728"/>
          </w:tcPr>
          <w:p>
            <w:r>
              <w:t>北大核心</w:t>
            </w:r>
          </w:p>
        </w:tc>
        <w:tc>
          <w:tcPr>
            <w:tcW w:type="dxa" w:w="1728"/>
          </w:tcPr>
          <w:p>
            <w:r>
              <w:t>40</w:t>
            </w:r>
          </w:p>
        </w:tc>
        <w:tc>
          <w:tcPr>
            <w:tcW w:type="dxa" w:w="1728"/>
          </w:tcPr>
          <w:p/>
        </w:tc>
        <w:tc>
          <w:tcPr>
            <w:tcW w:type="dxa" w:w="1728"/>
          </w:tcPr>
          <w:p/>
        </w:tc>
        <w:tc>
          <w:tcPr>
            <w:tcW w:type="dxa" w:w="1728"/>
          </w:tcPr>
          <w:p/>
        </w:tc>
      </w:tr>
      <w:tr>
        <w:tc>
          <w:tcPr>
            <w:tcW w:type="dxa" w:w="1728"/>
          </w:tcPr>
          <w:p>
            <w:r>
              <w:t>竞赛获奖</w:t>
            </w:r>
          </w:p>
        </w:tc>
        <w:tc>
          <w:tcPr>
            <w:tcW w:type="dxa" w:w="1728"/>
          </w:tcPr>
          <w:p>
            <w:r>
              <w:t>重中之重(A类)</w:t>
            </w:r>
          </w:p>
        </w:tc>
        <w:tc>
          <w:tcPr>
            <w:tcW w:type="dxa" w:w="1728"/>
          </w:tcPr>
          <w:p>
            <w:r>
              <w:t>最高奖次</w:t>
            </w:r>
          </w:p>
        </w:tc>
        <w:tc>
          <w:tcPr>
            <w:tcW w:type="dxa" w:w="1728"/>
          </w:tcPr>
          <w:p>
            <w:r>
              <w:t>100</w:t>
            </w:r>
          </w:p>
        </w:tc>
        <w:tc>
          <w:tcPr>
            <w:tcW w:type="dxa" w:w="1728"/>
          </w:tcPr>
          <w:p>
            <w:r>
              <w:t>① A类学科竞赛：中国国际大学生创新大赛、“挑战杯”全国大学生课外学术科技作品竞赛主体赛、“挑战杯”中国大学生创业计划竞赛主体赛；② B类学科竞赛：在化学化工学科领域内具有较高权威性和认可度、行业内有重大影响的高水平国际、国家级竞赛；③ C类学科竞赛：由教育部高等学校教学指导委员会、国家一级学会以及政府部委其他二级部门指导、组织或举办的在相关化学化工专业领域内具有重大影响的大学生竞赛活动（国家级）；④排名第一的学生得分按照分值的100%计算，排名第二的学生按照分值的80%计算，排名第三及以后的学生按照分值的60%计算。若第四等次为三等奖以下，则不加分。⑤按最高项记，不累加。</w:t>
            </w:r>
          </w:p>
        </w:tc>
      </w:tr>
      <w:tr>
        <w:tc>
          <w:tcPr>
            <w:tcW w:type="dxa" w:w="1728"/>
          </w:tcPr>
          <w:p>
            <w:r>
              <w:t>次一奖次</w:t>
            </w:r>
          </w:p>
        </w:tc>
        <w:tc>
          <w:tcPr>
            <w:tcW w:type="dxa" w:w="1728"/>
          </w:tcPr>
          <w:p>
            <w:r>
              <w:t>80</w:t>
            </w:r>
          </w:p>
        </w:tc>
        <w:tc>
          <w:tcPr>
            <w:tcW w:type="dxa" w:w="1728"/>
          </w:tcPr>
          <w:p/>
        </w:tc>
        <w:tc>
          <w:tcPr>
            <w:tcW w:type="dxa" w:w="1728"/>
          </w:tcPr>
          <w:p/>
        </w:tc>
        <w:tc>
          <w:tcPr>
            <w:tcW w:type="dxa" w:w="1728"/>
          </w:tcPr>
          <w:p/>
        </w:tc>
      </w:tr>
      <w:tr>
        <w:tc>
          <w:tcPr>
            <w:tcW w:type="dxa" w:w="1728"/>
          </w:tcPr>
          <w:p>
            <w:r>
              <w:t>次二奖次</w:t>
            </w:r>
          </w:p>
        </w:tc>
        <w:tc>
          <w:tcPr>
            <w:tcW w:type="dxa" w:w="1728"/>
          </w:tcPr>
          <w:p>
            <w:r>
              <w:t>60</w:t>
            </w:r>
          </w:p>
        </w:tc>
        <w:tc>
          <w:tcPr>
            <w:tcW w:type="dxa" w:w="1728"/>
          </w:tcPr>
          <w:p/>
        </w:tc>
        <w:tc>
          <w:tcPr>
            <w:tcW w:type="dxa" w:w="1728"/>
          </w:tcPr>
          <w:p/>
        </w:tc>
        <w:tc>
          <w:tcPr>
            <w:tcW w:type="dxa" w:w="1728"/>
          </w:tcPr>
          <w:p/>
        </w:tc>
      </w:tr>
      <w:tr>
        <w:tc>
          <w:tcPr>
            <w:tcW w:type="dxa" w:w="1728"/>
          </w:tcPr>
          <w:p>
            <w:r>
              <w:t>次三奖次</w:t>
            </w:r>
          </w:p>
        </w:tc>
        <w:tc>
          <w:tcPr>
            <w:tcW w:type="dxa" w:w="1728"/>
          </w:tcPr>
          <w:p>
            <w:r>
              <w:t>40</w:t>
            </w:r>
          </w:p>
        </w:tc>
        <w:tc>
          <w:tcPr>
            <w:tcW w:type="dxa" w:w="1728"/>
          </w:tcPr>
          <w:p/>
        </w:tc>
        <w:tc>
          <w:tcPr>
            <w:tcW w:type="dxa" w:w="1728"/>
          </w:tcPr>
          <w:p/>
        </w:tc>
        <w:tc>
          <w:tcPr>
            <w:tcW w:type="dxa" w:w="1728"/>
          </w:tcPr>
          <w:p/>
        </w:tc>
      </w:tr>
      <w:tr>
        <w:tc>
          <w:tcPr>
            <w:tcW w:type="dxa" w:w="1728"/>
          </w:tcPr>
          <w:p>
            <w:r>
              <w:t>重点(B类)</w:t>
            </w:r>
          </w:p>
        </w:tc>
        <w:tc>
          <w:tcPr>
            <w:tcW w:type="dxa" w:w="1728"/>
          </w:tcPr>
          <w:p>
            <w:r>
              <w:t>最高奖次</w:t>
            </w:r>
          </w:p>
        </w:tc>
        <w:tc>
          <w:tcPr>
            <w:tcW w:type="dxa" w:w="1728"/>
          </w:tcPr>
          <w:p>
            <w:r>
              <w:t>100</w:t>
            </w:r>
          </w:p>
        </w:tc>
        <w:tc>
          <w:tcPr>
            <w:tcW w:type="dxa" w:w="1728"/>
          </w:tcPr>
          <w:p/>
        </w:tc>
        <w:tc>
          <w:tcPr>
            <w:tcW w:type="dxa" w:w="1728"/>
          </w:tcPr>
          <w:p/>
        </w:tc>
      </w:tr>
      <w:tr>
        <w:tc>
          <w:tcPr>
            <w:tcW w:type="dxa" w:w="1728"/>
          </w:tcPr>
          <w:p>
            <w:r>
              <w:t>次一奖次</w:t>
            </w:r>
          </w:p>
        </w:tc>
        <w:tc>
          <w:tcPr>
            <w:tcW w:type="dxa" w:w="1728"/>
          </w:tcPr>
          <w:p>
            <w:r>
              <w:t>80</w:t>
            </w:r>
          </w:p>
        </w:tc>
        <w:tc>
          <w:tcPr>
            <w:tcW w:type="dxa" w:w="1728"/>
          </w:tcPr>
          <w:p/>
        </w:tc>
        <w:tc>
          <w:tcPr>
            <w:tcW w:type="dxa" w:w="1728"/>
          </w:tcPr>
          <w:p/>
        </w:tc>
        <w:tc>
          <w:tcPr>
            <w:tcW w:type="dxa" w:w="1728"/>
          </w:tcPr>
          <w:p/>
        </w:tc>
      </w:tr>
      <w:tr>
        <w:tc>
          <w:tcPr>
            <w:tcW w:type="dxa" w:w="1728"/>
          </w:tcPr>
          <w:p>
            <w:r>
              <w:t>次二奖次</w:t>
            </w:r>
          </w:p>
        </w:tc>
        <w:tc>
          <w:tcPr>
            <w:tcW w:type="dxa" w:w="1728"/>
          </w:tcPr>
          <w:p>
            <w:r>
              <w:t>60</w:t>
            </w:r>
          </w:p>
        </w:tc>
        <w:tc>
          <w:tcPr>
            <w:tcW w:type="dxa" w:w="1728"/>
          </w:tcPr>
          <w:p/>
        </w:tc>
        <w:tc>
          <w:tcPr>
            <w:tcW w:type="dxa" w:w="1728"/>
          </w:tcPr>
          <w:p/>
        </w:tc>
        <w:tc>
          <w:tcPr>
            <w:tcW w:type="dxa" w:w="1728"/>
          </w:tcPr>
          <w:p/>
        </w:tc>
      </w:tr>
      <w:tr>
        <w:tc>
          <w:tcPr>
            <w:tcW w:type="dxa" w:w="1728"/>
          </w:tcPr>
          <w:p>
            <w:r>
              <w:t>次三奖次（不低于三等奖）</w:t>
            </w:r>
          </w:p>
        </w:tc>
        <w:tc>
          <w:tcPr>
            <w:tcW w:type="dxa" w:w="1728"/>
          </w:tcPr>
          <w:p>
            <w:r>
              <w:t>40</w:t>
            </w:r>
          </w:p>
        </w:tc>
        <w:tc>
          <w:tcPr>
            <w:tcW w:type="dxa" w:w="1728"/>
          </w:tcPr>
          <w:p/>
        </w:tc>
        <w:tc>
          <w:tcPr>
            <w:tcW w:type="dxa" w:w="1728"/>
          </w:tcPr>
          <w:p/>
        </w:tc>
        <w:tc>
          <w:tcPr>
            <w:tcW w:type="dxa" w:w="1728"/>
          </w:tcPr>
          <w:p/>
        </w:tc>
      </w:tr>
      <w:tr>
        <w:tc>
          <w:tcPr>
            <w:tcW w:type="dxa" w:w="1728"/>
          </w:tcPr>
          <w:p>
            <w:r>
              <w:t>重要(C类)</w:t>
            </w:r>
          </w:p>
        </w:tc>
        <w:tc>
          <w:tcPr>
            <w:tcW w:type="dxa" w:w="1728"/>
          </w:tcPr>
          <w:p>
            <w:r>
              <w:t>最高奖次</w:t>
            </w:r>
          </w:p>
        </w:tc>
        <w:tc>
          <w:tcPr>
            <w:tcW w:type="dxa" w:w="1728"/>
          </w:tcPr>
          <w:p>
            <w:r>
              <w:t>80</w:t>
            </w:r>
          </w:p>
        </w:tc>
        <w:tc>
          <w:tcPr>
            <w:tcW w:type="dxa" w:w="1728"/>
          </w:tcPr>
          <w:p/>
        </w:tc>
        <w:tc>
          <w:tcPr>
            <w:tcW w:type="dxa" w:w="1728"/>
          </w:tcPr>
          <w:p/>
        </w:tc>
      </w:tr>
      <w:tr>
        <w:tc>
          <w:tcPr>
            <w:tcW w:type="dxa" w:w="1728"/>
          </w:tcPr>
          <w:p>
            <w:r>
              <w:t>次一奖次</w:t>
            </w:r>
          </w:p>
        </w:tc>
        <w:tc>
          <w:tcPr>
            <w:tcW w:type="dxa" w:w="1728"/>
          </w:tcPr>
          <w:p>
            <w:r>
              <w:t>60</w:t>
            </w:r>
          </w:p>
        </w:tc>
        <w:tc>
          <w:tcPr>
            <w:tcW w:type="dxa" w:w="1728"/>
          </w:tcPr>
          <w:p/>
        </w:tc>
        <w:tc>
          <w:tcPr>
            <w:tcW w:type="dxa" w:w="1728"/>
          </w:tcPr>
          <w:p/>
        </w:tc>
        <w:tc>
          <w:tcPr>
            <w:tcW w:type="dxa" w:w="1728"/>
          </w:tcPr>
          <w:p/>
        </w:tc>
      </w:tr>
      <w:tr>
        <w:tc>
          <w:tcPr>
            <w:tcW w:type="dxa" w:w="1728"/>
          </w:tcPr>
          <w:p>
            <w:r>
              <w:t>次二奖次</w:t>
            </w:r>
          </w:p>
        </w:tc>
        <w:tc>
          <w:tcPr>
            <w:tcW w:type="dxa" w:w="1728"/>
          </w:tcPr>
          <w:p>
            <w:r>
              <w:t>40</w:t>
            </w:r>
          </w:p>
        </w:tc>
        <w:tc>
          <w:tcPr>
            <w:tcW w:type="dxa" w:w="1728"/>
          </w:tcPr>
          <w:p/>
        </w:tc>
        <w:tc>
          <w:tcPr>
            <w:tcW w:type="dxa" w:w="1728"/>
          </w:tcPr>
          <w:p/>
        </w:tc>
        <w:tc>
          <w:tcPr>
            <w:tcW w:type="dxa" w:w="1728"/>
          </w:tcPr>
          <w:p/>
        </w:tc>
      </w:tr>
      <w:tr>
        <w:tc>
          <w:tcPr>
            <w:tcW w:type="dxa" w:w="1728"/>
          </w:tcPr>
          <w:p>
            <w:r>
              <w:t>次三奖次（不低于三等奖）</w:t>
            </w:r>
          </w:p>
        </w:tc>
        <w:tc>
          <w:tcPr>
            <w:tcW w:type="dxa" w:w="1728"/>
          </w:tcPr>
          <w:p>
            <w:r>
              <w:t>20</w:t>
            </w:r>
          </w:p>
        </w:tc>
        <w:tc>
          <w:tcPr>
            <w:tcW w:type="dxa" w:w="1728"/>
          </w:tcPr>
          <w:p/>
        </w:tc>
        <w:tc>
          <w:tcPr>
            <w:tcW w:type="dxa" w:w="1728"/>
          </w:tcPr>
          <w:p/>
        </w:tc>
        <w:tc>
          <w:tcPr>
            <w:tcW w:type="dxa" w:w="1728"/>
          </w:tcPr>
          <w:p/>
        </w:tc>
      </w:tr>
    </w:tbl>
    <w:p>
      <w:r>
        <w:t>2.面试</w:t>
      </w:r>
    </w:p>
    <w:p>
      <w:r>
        <w:t>学校面试考核采用线上面试模式，面试平台为腾讯会议，面试全程录音录像。全面考核申请人的基础素质、思想政治素质与品德、专业素养、创新潜质等，采用学术汇报、专业提问、现场答题等方式进行。考生需准备汇报PPT（中英文均可，时间控制在10分钟之内）。</w:t>
      </w:r>
    </w:p>
    <w:p>
      <w:r>
        <w:t>（1）基础素质</w:t>
      </w:r>
    </w:p>
    <w:p>
      <w:r>
        <w:t>重点考察考生本学科（专业）以外的学习、科研、社会实践（学生工作、社团活动、志愿服务等）或实际工作表现情况；申请人的思想政治品德、心理素质、思维能力、反应应变能力、语言表达能力、研究兴趣爱好等。</w:t>
      </w:r>
    </w:p>
    <w:p>
      <w:r>
        <w:t>（2）专业素养与创新潜质</w:t>
      </w:r>
    </w:p>
    <w:p>
      <w:r>
        <w:t>重点考察考生大学本科阶段的学习情况及课程成绩；对本学科理论知识、专业应用技能的掌握程度，运用专业理论发现、分析并解决问题的能力；所取得的高水平科研创新成果与学科竞赛奖项；对本学科前沿发展动态的了解程度及专业发展潜力；创新意识与科研创新能力。</w:t>
      </w:r>
    </w:p>
    <w:p>
      <w:r>
        <w:t>学院组建不少于5人的面试专家组，面试专家组成员为本学科副教授及以上职称或具有相当专业技术职务。专家组根据面试表现打分，最终得出百分制面试成绩。</w:t>
      </w:r>
    </w:p>
    <w:p>
      <w:r>
        <w:t>面试成绩计算公式：面试成绩=基础素质（100分）× 30%+专业素养与创新潜质（100分）× 70%。满分100分，低于60分者，不予录取。</w:t>
      </w:r>
    </w:p>
    <w:p>
      <w:r>
        <w:t>（三）综合考核成绩计算</w:t>
      </w:r>
    </w:p>
    <w:p>
      <w:r>
        <w:t>综合考核成绩满分为100分，由材料审核成绩和面试成绩两部分组成，具体计算方式为：</w:t>
      </w:r>
    </w:p>
    <w:p>
      <w:r>
        <w:t>综合考核成绩=材料审核成绩（100分）× 30%+面试考核成绩（100分）× 70%。</w:t>
      </w:r>
    </w:p>
    <w:p>
      <w:r>
        <w:t>（四）录取</w:t>
      </w:r>
    </w:p>
    <w:p>
      <w:r>
        <w:t>学院根据考生综合考核成绩从高到低排序，择优确定拟录取名单，如综合考核成绩一致，则面试成绩高者优先确定拟录取；若面试成绩仍相同，则由学院招生工作小组组织复议后确定。思想政治素质和品德考核不合格的考生，不予录取。拟录取名单经学院招生工作小组审议通过后，报送研究生院审核公示，公示无异议后完成正式录取手续。直博生拟录取须符合我校直博生招生文件相关要求，确保招生程序合规、选拔标准达标。</w:t>
      </w:r>
    </w:p>
    <w:p>
      <w:r>
        <w:t>五、招收推免资助与奖励政策</w:t>
      </w:r>
    </w:p>
    <w:p>
      <w:r>
        <w:t>学校建立了以国家资助、学校资助、社会捐助、导师配套为一体的全方位研究生资助体系。其中，奖学金主要包含国家奖学金、校长奖学金、学业奖学金（新生奖学金）、专项奖学金等；助学金主要包含国家助学金、“三助（助研、助教、助管）”津贴、困难补助等。录取类别为非定向的全日制推免研究生有机会获得校长特别奖学金，入学后第一学年原则上获得不低于一等的新生奖学金（与校长特别奖学金不兼得）。</w:t>
      </w:r>
    </w:p>
    <w:p>
      <w:r>
        <w:t>六、其他</w:t>
      </w:r>
    </w:p>
    <w:p>
      <w:r>
        <w:t>1.我院根据报名情况分批次审核申请信息，本着“先申请先考核”的原则，择优选拔，并通过推免服务系统向符合条件的考生发送待录取通知，额满为止。</w:t>
      </w:r>
    </w:p>
    <w:p>
      <w:r>
        <w:t>2.申请人须对全部申请材料的真实性和准确性负责。如发现申请人报考信息弄虚作假、违反招生规定、存在品德失范、学术不端等情况的，经查证属实，学校将按照相关规定取消其推免录取资格，并按规定通报申请人所在学校。</w:t>
      </w:r>
    </w:p>
    <w:p>
      <w:r>
        <w:t>3.直博生的招收按照《南京工业大学直接攻读博士学位研究生招生工作办法（2026年修订）》文件要求执行。</w:t>
      </w:r>
    </w:p>
    <w:p>
      <w:r>
        <w:t>4.已被招收的推免生不得再参加全国硕士研究生入学考试。在入学报到时未获得本科毕业证书者，学校将取消其录取资格。</w:t>
      </w:r>
    </w:p>
    <w:p>
      <w:r>
        <w:t>5.推免生综合考核期间不安排体格检查，体检工作统一放在转年入学报到时进行。</w:t>
      </w:r>
    </w:p>
    <w:p>
      <w:r>
        <w:t>6.本细则由南京工业大学化学与分子工程学院研究生招生工作小组制定并负责解释。保障及监督机制依照《南京工业大学推荐免试研究生招生录取工作办法》执行。</w:t>
      </w:r>
    </w:p>
    <w:p>
      <w:r>
        <w:t>七、信息查询及联系方式</w:t>
      </w:r>
    </w:p>
    <w:p>
      <w:r>
        <w:t>网址：https://chem.njtech.edu.cn/（化学与分子工程学院官网）</w:t>
      </w:r>
    </w:p>
    <w:p>
      <w:r>
        <w:t>https://gra.njtech.edu.cn/zsw/（研究生招生网）</w:t>
      </w:r>
    </w:p>
    <w:p>
      <w:r>
        <w:t>咨询电话：025-58139537（化学与分子工程学院）</w:t>
      </w:r>
    </w:p>
    <w:p>
      <w:r>
        <w:t>025-58139194（学校研招办）</w:t>
      </w:r>
    </w:p>
    <w:p>
      <w:r>
        <w:t>联系人：程老师</w:t>
      </w:r>
    </w:p>
    <w:p>
      <w:r>
        <w:t>报考材料寄送地址：江苏省南京市江北新区浦珠南路30号化学学科楼A405办公室（邮编：211816），联系人：程老师025-58139537</w:t>
      </w:r>
    </w:p>
    <w:p>
      <w:r>
        <w:t>化学与分子工程学院</w:t>
      </w:r>
    </w:p>
    <w:p>
      <w:r>
        <w:t>2026年9月10日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