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生命科学学院-2026</w:t>
      </w:r>
    </w:p>
    <w:p>
      <w:r>
        <w:t>认真贯彻党的二十大和二十届历次全会精神以及习近平总书记关于教育的重要论述，贯彻落实《全国高等学校推荐优秀应届本科毕业生免试攻读研究生工作管理规定》文件精神，全面贯彻党的教育方针，坚持正确办学方向，落实立德树人根本任务，以精准服务国家战略、有力支撑教育强国建设为导向，综合评价、择优推荐，着力选拔培养拔尖创新人才。坚持以德为先，突出能力考查，注重一贯表现，强化对学生科研创新潜质和专业能力倾向的考核；坚持科学、规范、公平、公开的原则，坚持重大事项集体研究、集体决策，严格规范管理，加强信息公开，坚决杜绝各种不正之风。根据《南京大学关于做好推荐20 2 7年优秀应届本科毕业生免试攻读研究生工作的通知》（南本发〔2026〕4037号），经研究，制定《2026年度南京大学生命科学学院推免生遴选工作实施细则》。</w:t>
      </w:r>
    </w:p>
    <w:p>
      <w:r>
        <w:t>二、学院推免生遴选工作小组</w:t>
      </w:r>
    </w:p>
    <w:p>
      <w:r>
        <w:t>学院成立推免生遴选工作小组，由学院党委书记、院长担任组长，由分管本科教学、研究生培养的副院长和分管学生工作的学院党委副书记担任副组长，成员包括各系系主任、本科生教务员、本科生辅导员。</w:t>
      </w:r>
    </w:p>
    <w:p>
      <w:r>
        <w:t>三、推免对象及条件</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4.申请推免生资格的学生均需提交学院1名（副）教授亲笔签名的推荐信。</w:t>
      </w:r>
    </w:p>
    <w:p>
      <w:r>
        <w:t>5.申报教育部各类“补偿计划”（相关师范院校、国防科工院所等）的学生，须满足上述第1-4条要求，学院择优推荐。</w:t>
      </w:r>
    </w:p>
    <w:p>
      <w:r>
        <w:t>6. “研究生支教团”推免专项的申报条件及程序参见校团委发布的相关文件。</w:t>
      </w:r>
    </w:p>
    <w:p>
      <w:r>
        <w:t>四、推免学分绩</w:t>
      </w:r>
    </w:p>
    <w:p>
      <w:r>
        <w:t>（一）纳入学分绩计算范围的课程学分认定规则与计算方式</w:t>
      </w:r>
    </w:p>
    <w:p>
      <w:r>
        <w:t>(1)学分绩统一以学生首次参加该课程的考试成绩计算（如第一次考试不及格者，按不及格原始成绩计算学分绩）。</w:t>
      </w:r>
    </w:p>
    <w:p>
      <w:r>
        <w:t>(2)返校未满一年的交换生，以现有在本校修读的课程成绩计算。</w:t>
      </w:r>
    </w:p>
    <w:p>
      <w:r>
        <w:t>(3)学科平台菜单课（至少修读4学分课程）参考：大学物理、有机化学基础、大学化学B、大学化学实验、大学物理实验的顺序，按照学生所选前1-2门课程进行学分绩计算。</w:t>
      </w:r>
    </w:p>
    <w:p>
      <w:r>
        <w:t>(4) C程序设计(课程号：00030211）,Python程序设计（课程号：00030220）为二选一课程，只修读一门的按修读课程进行学分绩计算；两门都修读的，按先修读的一门进行学分绩计算；两门课程同时修读的按Python程序设计（课程号：00030220）进行学分绩计算。</w:t>
      </w:r>
    </w:p>
    <w:p>
      <w:r>
        <w:t>(5)生物统计学(课程号：14010021）,概率论与数理统计（课程号：11100200）为二选一课程。只修读一门的按修读课程进行学分绩计算；两门都修读的，按先修读的一门进行学分绩计算；两门课程同时修读的按生物统计学(课程号：14010021）进行学分绩计算。</w:t>
      </w:r>
    </w:p>
    <w:p>
      <w:r>
        <w:t>（6）对于港澳台华侨学生，实际修读的政治课程纳入学分绩计算；未修读的政治课程、军事理论课及军事技能训练，及用于替代的国情类课程，不纳入推免学分绩计算范畴。</w:t>
      </w:r>
    </w:p>
    <w:p>
      <w:r>
        <w:t>(7)如学生（跨院系转入学生等）出现实际所修课程与课程清单中课程不一致的情况，可申请课程替代，可替代课程及替代关系如下，以实际所修课程成绩和学分为准进行学分绩计算。如出现未规定替代关系的特殊情况，在申请并获得教务员核实和推免生遴选工作小组同意后可用实际所修课程作为课程清单中的课程成绩，以实际所修课程成绩和学分为准进行学分绩计算。</w:t>
      </w:r>
    </w:p>
    <w:tbl>
      <w:tblPr>
        <w:tblStyle w:val="TableGrid"/>
        <w:tblW w:type="auto" w:w="0"/>
        <w:tblLook w:firstColumn="1" w:firstRow="1" w:lastColumn="0" w:lastRow="0" w:noHBand="0" w:noVBand="1" w:val="04A0"/>
      </w:tblPr>
      <w:tblGrid>
        <w:gridCol w:w="2880"/>
        <w:gridCol w:w="2880"/>
        <w:gridCol w:w="2880"/>
      </w:tblGrid>
      <w:tr>
        <w:tc>
          <w:tcPr>
            <w:tcW w:type="dxa" w:w="2880"/>
          </w:tcPr>
          <w:p>
            <w:r>
              <w:t>替代课程</w:t>
            </w:r>
          </w:p>
        </w:tc>
        <w:tc>
          <w:tcPr>
            <w:tcW w:type="dxa" w:w="2880"/>
          </w:tcPr>
          <w:p>
            <w:r>
              <w:t>替代关系</w:t>
            </w:r>
          </w:p>
        </w:tc>
        <w:tc>
          <w:tcPr>
            <w:tcW w:type="dxa" w:w="2880"/>
          </w:tcPr>
          <w:p>
            <w:r>
              <w:t>被替代课程</w:t>
            </w:r>
          </w:p>
        </w:tc>
      </w:tr>
      <w:tr>
        <w:tc>
          <w:tcPr>
            <w:tcW w:type="dxa" w:w="2880"/>
          </w:tcPr>
          <w:p>
            <w:r>
              <w:t>00010011A微积分I（第一层次）</w:t>
            </w:r>
          </w:p>
        </w:tc>
        <w:tc>
          <w:tcPr>
            <w:tcW w:type="dxa" w:w="2880"/>
          </w:tcPr>
          <w:p>
            <w:r>
              <w:t>可替代</w:t>
            </w:r>
          </w:p>
        </w:tc>
        <w:tc>
          <w:tcPr>
            <w:tcW w:type="dxa" w:w="2880"/>
          </w:tcPr>
          <w:p>
            <w:r>
              <w:t>00010012A微积分I（第二层次）</w:t>
            </w:r>
          </w:p>
        </w:tc>
      </w:tr>
      <w:tr>
        <w:tc>
          <w:tcPr>
            <w:tcW w:type="dxa" w:w="2880"/>
          </w:tcPr>
          <w:p>
            <w:r>
              <w:t>11100140A微积分I（第一层次）</w:t>
            </w:r>
          </w:p>
        </w:tc>
        <w:tc>
          <w:tcPr>
            <w:tcW w:type="dxa" w:w="2880"/>
          </w:tcPr>
          <w:p>
            <w:r>
              <w:t>可替代</w:t>
            </w:r>
          </w:p>
        </w:tc>
        <w:tc>
          <w:tcPr>
            <w:tcW w:type="dxa" w:w="2880"/>
          </w:tcPr>
          <w:p>
            <w:r>
              <w:t>00010012A微积分I（第二层次）</w:t>
            </w:r>
          </w:p>
        </w:tc>
      </w:tr>
      <w:tr>
        <w:tc>
          <w:tcPr>
            <w:tcW w:type="dxa" w:w="2880"/>
          </w:tcPr>
          <w:p>
            <w:r>
              <w:t>00010011B微积分II（第一层次）+00010011C线性代数（第一层次）</w:t>
            </w:r>
          </w:p>
        </w:tc>
        <w:tc>
          <w:tcPr>
            <w:tcW w:type="dxa" w:w="2880"/>
          </w:tcPr>
          <w:p>
            <w:r>
              <w:t>可替代</w:t>
            </w:r>
          </w:p>
        </w:tc>
        <w:tc>
          <w:tcPr>
            <w:tcW w:type="dxa" w:w="2880"/>
          </w:tcPr>
          <w:p>
            <w:r>
              <w:t>00010012B微积分II与线性代数（第二层次）</w:t>
            </w:r>
          </w:p>
        </w:tc>
      </w:tr>
    </w:tbl>
    <w:p>
      <w:r>
        <w:t>（二）纳入学分绩计算范围的课程清单（见附件）</w:t>
      </w:r>
    </w:p>
    <w:p>
      <w:r>
        <w:t>（三）学分绩加分项目补充说明</w:t>
      </w:r>
    </w:p>
    <w:p>
      <w:r>
        <w:t>除《南京大学推荐优秀应届本科毕业生免试攻读研究生学分绩加分办法》中规定的高水平竞赛奖项加分标准与对象外，本学院对i GEM比赛、美国大学生数学建模大赛（MCM/ICM）和全国大学生生命科学竞赛（科学探究类）相关加分作补充说明。</w:t>
      </w:r>
    </w:p>
    <w:p>
      <w:r>
        <w:t>1. i GEM比赛（国际基因工程机器大赛International Genetically Engineered Machine Competition）</w:t>
      </w:r>
    </w:p>
    <w:tbl>
      <w:tblPr>
        <w:tblStyle w:val="TableGrid"/>
        <w:tblW w:type="auto" w:w="0"/>
        <w:tblLook w:firstColumn="1" w:firstRow="1" w:lastColumn="0" w:lastRow="0" w:noHBand="0" w:noVBand="1" w:val="04A0"/>
      </w:tblPr>
      <w:tblGrid>
        <w:gridCol w:w="2880"/>
        <w:gridCol w:w="2880"/>
        <w:gridCol w:w="2880"/>
      </w:tblGrid>
      <w:tr>
        <w:tc>
          <w:tcPr>
            <w:tcW w:type="dxa" w:w="2880"/>
          </w:tcPr>
          <w:p>
            <w:r>
              <w:t>获奖等级</w:t>
            </w:r>
          </w:p>
        </w:tc>
        <w:tc>
          <w:tcPr>
            <w:tcW w:type="dxa" w:w="2880"/>
          </w:tcPr>
          <w:p>
            <w:r>
              <w:t>前六贡献者加分值</w:t>
            </w:r>
          </w:p>
        </w:tc>
        <w:tc>
          <w:tcPr>
            <w:tcW w:type="dxa" w:w="2880"/>
          </w:tcPr>
          <w:p>
            <w:r>
              <w:t>其他加分值</w:t>
            </w:r>
          </w:p>
        </w:tc>
      </w:tr>
      <w:tr>
        <w:tc>
          <w:tcPr>
            <w:tcW w:type="dxa" w:w="2880"/>
          </w:tcPr>
          <w:p>
            <w:r>
              <w:t>Grand prize winner final list</w:t>
            </w:r>
          </w:p>
        </w:tc>
        <w:tc>
          <w:tcPr>
            <w:tcW w:type="dxa" w:w="2880"/>
          </w:tcPr>
          <w:p>
            <w:r>
              <w:t>0.05/人</w:t>
            </w:r>
          </w:p>
        </w:tc>
        <w:tc>
          <w:tcPr>
            <w:tcW w:type="dxa" w:w="2880"/>
          </w:tcPr>
          <w:p>
            <w:r>
              <w:t>0.2 ÷（总人数-6）</w:t>
            </w:r>
          </w:p>
        </w:tc>
      </w:tr>
      <w:tr>
        <w:tc>
          <w:tcPr>
            <w:tcW w:type="dxa" w:w="2880"/>
          </w:tcPr>
          <w:p>
            <w:r>
              <w:t>金奖+单项奖提名</w:t>
            </w:r>
          </w:p>
        </w:tc>
        <w:tc>
          <w:tcPr>
            <w:tcW w:type="dxa" w:w="2880"/>
          </w:tcPr>
          <w:p>
            <w:r>
              <w:t>0.04/人</w:t>
            </w:r>
          </w:p>
        </w:tc>
        <w:tc>
          <w:tcPr>
            <w:tcW w:type="dxa" w:w="2880"/>
          </w:tcPr>
          <w:p>
            <w:r>
              <w:t>0.16 ÷（总人数-6）</w:t>
            </w:r>
          </w:p>
        </w:tc>
      </w:tr>
      <w:tr>
        <w:tc>
          <w:tcPr>
            <w:tcW w:type="dxa" w:w="2880"/>
          </w:tcPr>
          <w:p>
            <w:r>
              <w:t>金奖</w:t>
            </w:r>
          </w:p>
        </w:tc>
        <w:tc>
          <w:tcPr>
            <w:tcW w:type="dxa" w:w="2880"/>
          </w:tcPr>
          <w:p>
            <w:r>
              <w:t>0.03/人</w:t>
            </w:r>
          </w:p>
        </w:tc>
        <w:tc>
          <w:tcPr>
            <w:tcW w:type="dxa" w:w="2880"/>
          </w:tcPr>
          <w:p>
            <w:r>
              <w:t>0.12 ÷（总人数-6）</w:t>
            </w:r>
          </w:p>
        </w:tc>
      </w:tr>
      <w:tr>
        <w:tc>
          <w:tcPr>
            <w:tcW w:type="dxa" w:w="2880"/>
          </w:tcPr>
          <w:p>
            <w:r>
              <w:t>银奖</w:t>
            </w:r>
          </w:p>
        </w:tc>
        <w:tc>
          <w:tcPr>
            <w:tcW w:type="dxa" w:w="2880"/>
          </w:tcPr>
          <w:p>
            <w:r>
              <w:t>0.02/人</w:t>
            </w:r>
          </w:p>
        </w:tc>
        <w:tc>
          <w:tcPr>
            <w:tcW w:type="dxa" w:w="2880"/>
          </w:tcPr>
          <w:p>
            <w:r>
              <w:t>0 .08 ÷（总人数-6）</w:t>
            </w:r>
          </w:p>
        </w:tc>
      </w:tr>
      <w:tr>
        <w:tc>
          <w:tcPr>
            <w:tcW w:type="dxa" w:w="2880"/>
          </w:tcPr>
          <w:p>
            <w:r>
              <w:t>铜奖</w:t>
            </w:r>
          </w:p>
        </w:tc>
        <w:tc>
          <w:tcPr>
            <w:tcW w:type="dxa" w:w="2880"/>
          </w:tcPr>
          <w:p>
            <w:r>
              <w:t>0.01/人</w:t>
            </w:r>
          </w:p>
        </w:tc>
        <w:tc>
          <w:tcPr>
            <w:tcW w:type="dxa" w:w="2880"/>
          </w:tcPr>
          <w:p>
            <w:r>
              <w:t>0.04 ÷（总人数-6）</w:t>
            </w:r>
          </w:p>
        </w:tc>
      </w:tr>
    </w:tbl>
    <w:p>
      <w:r>
        <w:t>2.美国大学生数学建模大赛（MCM/ICM）</w:t>
      </w:r>
    </w:p>
    <w:tbl>
      <w:tblPr>
        <w:tblStyle w:val="TableGrid"/>
        <w:tblW w:type="auto" w:w="0"/>
        <w:tblLook w:firstColumn="1" w:firstRow="1" w:lastColumn="0" w:lastRow="0" w:noHBand="0" w:noVBand="1" w:val="04A0"/>
      </w:tblPr>
      <w:tblGrid>
        <w:gridCol w:w="4320"/>
        <w:gridCol w:w="4320"/>
      </w:tblGrid>
      <w:tr>
        <w:tc>
          <w:tcPr>
            <w:tcW w:type="dxa" w:w="4320"/>
          </w:tcPr>
          <w:p>
            <w:r>
              <w:t>获奖等级</w:t>
            </w:r>
          </w:p>
        </w:tc>
        <w:tc>
          <w:tcPr>
            <w:tcW w:type="dxa" w:w="4320"/>
          </w:tcPr>
          <w:p>
            <w:r>
              <w:t>加分值</w:t>
            </w:r>
          </w:p>
        </w:tc>
      </w:tr>
      <w:tr>
        <w:tc>
          <w:tcPr>
            <w:tcW w:type="dxa" w:w="4320"/>
          </w:tcPr>
          <w:p>
            <w:r>
              <w:t>O utstanding Winner国际特等奖</w:t>
            </w:r>
          </w:p>
        </w:tc>
        <w:tc>
          <w:tcPr>
            <w:tcW w:type="dxa" w:w="4320"/>
          </w:tcPr>
          <w:p>
            <w:r>
              <w:t>0.2÷人数</w:t>
            </w:r>
          </w:p>
        </w:tc>
      </w:tr>
      <w:tr>
        <w:tc>
          <w:tcPr>
            <w:tcW w:type="dxa" w:w="4320"/>
          </w:tcPr>
          <w:p>
            <w:r>
              <w:t>Finalist国际特等奖提名</w:t>
            </w:r>
          </w:p>
        </w:tc>
        <w:tc>
          <w:tcPr>
            <w:tcW w:type="dxa" w:w="4320"/>
          </w:tcPr>
          <w:p>
            <w:r>
              <w:t>0.2÷人数</w:t>
            </w:r>
          </w:p>
        </w:tc>
      </w:tr>
      <w:tr>
        <w:tc>
          <w:tcPr>
            <w:tcW w:type="dxa" w:w="4320"/>
          </w:tcPr>
          <w:p>
            <w:r>
              <w:t>Meritorious Winner国际一等奖</w:t>
            </w:r>
          </w:p>
        </w:tc>
        <w:tc>
          <w:tcPr>
            <w:tcW w:type="dxa" w:w="4320"/>
          </w:tcPr>
          <w:p>
            <w:r>
              <w:t>0.12÷人数</w:t>
            </w:r>
          </w:p>
        </w:tc>
      </w:tr>
      <w:tr>
        <w:tc>
          <w:tcPr>
            <w:tcW w:type="dxa" w:w="4320"/>
          </w:tcPr>
          <w:p>
            <w:r>
              <w:t>Honorable Mention国际二等奖</w:t>
            </w:r>
          </w:p>
        </w:tc>
        <w:tc>
          <w:tcPr>
            <w:tcW w:type="dxa" w:w="4320"/>
          </w:tcPr>
          <w:p>
            <w:r>
              <w:t>0.04÷人数</w:t>
            </w:r>
          </w:p>
        </w:tc>
      </w:tr>
    </w:tbl>
    <w:p>
      <w:r>
        <w:t>3 .全国大学生生命科学竞赛（科学探究类）</w:t>
      </w:r>
    </w:p>
    <w:tbl>
      <w:tblPr>
        <w:tblStyle w:val="TableGrid"/>
        <w:tblW w:type="auto" w:w="0"/>
        <w:tblLook w:firstColumn="1" w:firstRow="1" w:lastColumn="0" w:lastRow="0" w:noHBand="0" w:noVBand="1" w:val="04A0"/>
      </w:tblPr>
      <w:tblGrid>
        <w:gridCol w:w="4320"/>
        <w:gridCol w:w="4320"/>
      </w:tblGrid>
      <w:tr>
        <w:tc>
          <w:tcPr>
            <w:tcW w:type="dxa" w:w="4320"/>
          </w:tcPr>
          <w:p>
            <w:r>
              <w:t>获奖等级</w:t>
            </w:r>
          </w:p>
        </w:tc>
        <w:tc>
          <w:tcPr>
            <w:tcW w:type="dxa" w:w="4320"/>
          </w:tcPr>
          <w:p>
            <w:r>
              <w:t>加分值</w:t>
            </w:r>
          </w:p>
        </w:tc>
      </w:tr>
      <w:tr>
        <w:tc>
          <w:tcPr>
            <w:tcW w:type="dxa" w:w="4320"/>
          </w:tcPr>
          <w:p>
            <w:r>
              <w:t>国家级一等奖</w:t>
            </w:r>
          </w:p>
        </w:tc>
        <w:tc>
          <w:tcPr>
            <w:tcW w:type="dxa" w:w="4320"/>
          </w:tcPr>
          <w:p>
            <w:r>
              <w:t>0.2÷人数</w:t>
            </w:r>
          </w:p>
        </w:tc>
      </w:tr>
      <w:tr>
        <w:tc>
          <w:tcPr>
            <w:tcW w:type="dxa" w:w="4320"/>
          </w:tcPr>
          <w:p>
            <w:r>
              <w:t>国家级二等奖</w:t>
            </w:r>
          </w:p>
        </w:tc>
        <w:tc>
          <w:tcPr>
            <w:tcW w:type="dxa" w:w="4320"/>
          </w:tcPr>
          <w:p>
            <w:r>
              <w:t>0. 1 2÷人数</w:t>
            </w:r>
          </w:p>
        </w:tc>
      </w:tr>
      <w:tr>
        <w:tc>
          <w:tcPr>
            <w:tcW w:type="dxa" w:w="4320"/>
          </w:tcPr>
          <w:p>
            <w:r>
              <w:t>国家级三等奖</w:t>
            </w:r>
          </w:p>
        </w:tc>
        <w:tc>
          <w:tcPr>
            <w:tcW w:type="dxa" w:w="4320"/>
          </w:tcPr>
          <w:p>
            <w:r>
              <w:t>0. 04 ÷人数</w:t>
            </w:r>
          </w:p>
        </w:tc>
      </w:tr>
    </w:tbl>
    <w:p>
      <w:r>
        <w:t>（四）经学院认定允许学分绩加分的学术刊物目录（加分刊物级别及其对应加分值）</w:t>
      </w:r>
    </w:p>
    <w:p>
      <w:r>
        <w:t>以第一作者身份在学术期刊公开发表与学业相关的科研论文者加0.05，以共同第一作者身份在学术期刊公开发表与学业相关的科研论文者加0.025，加分所涉及学术期刊以南京大学科学技术研究院发布的《中国科学技术信息研究所SCI（E）论文期刊分区列表（202 1年）》为准；以第一作者身份在高水平期刊公开发表与学业相关的高水平科研论文者加0.1，以共同第一作者身份在学术期刊公开发表与学业相关的高水平科研论文者加0.05，学生与指导老师联合发表论文的，仅限于指导老师作为第一作者、学生作为第二作者的情况，加0.05，加分所涉及一流及以上期刊以附件《南京大学生命科学学院高水平期刊目录》为准。有录用通知或者early online视为正式发表，截止日期为202 6年8月31日，如成果在申请加分时为录用状态，需同时提交由指导教师审核并签名的接收函一份。此项加分不累计，按所获加分最高的单篇论文计算。</w:t>
      </w:r>
    </w:p>
    <w:p>
      <w:r>
        <w:t>其余各项加分明细见《南京大学推荐优秀应届本科毕业生免试攻读研究生学分绩加分办法》，相同内容形成的成果不得累计加分，学生在高水平科研创新成果、高水平竞赛奖项、综合素质表现、参军入伍服兵役等加分类别中，同一类别内有多项成果的，原则上只取一项计入加分，单人加分总额不得超过0.3分。学生与其亲属或者其他利益相关者（不含指导教师）合作的成果，不纳入加分认定范围。</w:t>
      </w:r>
    </w:p>
    <w:p>
      <w:r>
        <w:t>所有学分绩加分项目均需由学生按时提出申请。学生提出申请后，我院成立专家审核小组，严格审核认定学生的学术创新成果，对申请推免资格学生的科研创新成果、论文、竞赛获奖奖项及内容进行审核鉴定，杜绝抄袭、造假、冒名、挂名及有名无实等情况问题发生。同时，我院将组织申请学生在一定范围内进行公开答辩，通过审核鉴定或答辩的学生特殊学术专长，将在网站上予以公示。未通过审核鉴定或答辩的，不纳入推免遴选综合评价成绩计算体系。</w:t>
      </w:r>
    </w:p>
    <w:p>
      <w:r>
        <w:t>（五）推免综合学分绩计算规则</w:t>
      </w:r>
    </w:p>
    <w:p>
      <w:r>
        <w:t>推免综合学分绩＝推免课程学分绩＋学分绩总加分</w:t>
      </w:r>
    </w:p>
    <w:p>
      <w:r>
        <w:t>五、排名规则</w:t>
      </w:r>
    </w:p>
    <w:p>
      <w:r>
        <w:t>本次推免分为2个方向进行排序，分别为：生物科学拔尖班、国家生物技术基地班，排序规则为：</w:t>
      </w:r>
    </w:p>
    <w:p>
      <w:r>
        <w:t>生科院20 23级非强基计划本科生分为生物科学拔尖班和国家生物技术基地班，由于两个班在课程设置和任课老师设置上均有较大不同，因此202 7届生科院毕业生分为生物科学拔尖班和国家生物技术基地班两个班分别进行综合学分绩计算以及排名。最终根据学校下达的指标数，产生我院所有申报学生排序名单。在完全同等条件下，积极参与国际组织实习的学生可优先推荐。</w:t>
      </w:r>
    </w:p>
    <w:p>
      <w:r>
        <w:t>六、本学院学生推免申报程序</w:t>
      </w:r>
    </w:p>
    <w:p>
      <w:r>
        <w:t>1.学校公布202 6年度全校推免生遴选办法，学院据此制定《202 6年度南京大学生命科学学院推免生遴选工作实施细则》（以下简称“《学院推免细则》”），明确推荐程序和学生排序原则。《学院推免细则》经学校审定后，在学院内公示不少于3日。2026年度“研究生支教团”专项推免工作通知由校团委另行发布。</w:t>
      </w:r>
    </w:p>
    <w:p>
      <w:r>
        <w:t>2.学生自主申报并填写《2026年度南京大学生命科学学院推免申请表》；学院做好推免学分绩核算、政策解释和咨询指导等工作，成立专家审核小组，按照要求对学生学术创新成果进行审核认定，对推免生申请名单、学生推免学分绩（采用第一次成绩计算学分绩的课程须明确备注）、推免学分绩加分情况（加分项目和分值）及推免综合排序等进行公示，公示期不少于3日。</w:t>
      </w:r>
    </w:p>
    <w:p>
      <w:r>
        <w:t>3.学校根据本年度教育部下达我校的推免名额情况，分配推免名额。学院据此公示拟推荐学生排序名单（公示期不少于3日，公示期间名单不得修改，名单如需变动，须对变动部分做出说明，并对变动内容另行公示）；公示期后，学院正式向学校提交推荐学生排序名单。</w:t>
      </w:r>
    </w:p>
    <w:p>
      <w:r>
        <w:t>4.学校推荐优秀本科毕业生免试攻读研究生工作领导小组审定各学院推荐学生名单，并将审定结果在全校范围内公示，经公示无异议者方能正式获得202 6年度南京大学推免生资格。</w:t>
      </w:r>
    </w:p>
    <w:p>
      <w:r>
        <w:t>5.学校通过教育部“全国推荐优秀应届本科毕业生免试攻读研究生信息公开暨管理服务系统”上报推免生名单，供省级教育招生考试管理机构进行政策审核，并按要求向教育部备案。</w:t>
      </w:r>
    </w:p>
    <w:p>
      <w:r>
        <w:t>6.获得推免生资格的学生按教育部文件规定，登录“全国推荐优秀应届本科毕业生免试攻读研究生信息公开暨管理服务系统”进行网上填报志愿，并根据报考学校要求完成复试考核和录取等工作。</w:t>
      </w:r>
    </w:p>
    <w:p>
      <w:r>
        <w:t>七、注意事项</w:t>
      </w:r>
    </w:p>
    <w:p>
      <w:r>
        <w:t>1.严处违规行为。纪检监察部门对推免工作实行全程监督。推免工作中弄虚作假，存在提供虚假材料、以及剽窃、抄袭、侵占他人学术成果等学术不端行为的，或有其他严重影响推免过程和结果公平公正行为的学生，一经查实，按照相关规定，予以取消其推免资格等处理。对于在推免工作中未严格履行工作职责的，或存在违规修改学业成绩、出具虚假学业成绩证明、出具虚假推荐信或推荐内容不实等弄虚作假行为的，或违反推免政策规定的相关工作人员和指导教师，所在单位应依规依纪严肃处理，对非本单位人员应当将其违规事实如实转报其所在单位予以处理。</w:t>
      </w:r>
    </w:p>
    <w:p>
      <w:r>
        <w:t>2.建立健全回避制度。各学院、各单位中层及以上领导干部和推免遴选推荐工作人员，如有直系亲属或其他利益相关者报名参加本校推免，应主动报备并全程回避；如有非直系亲属等报名参加本校推免，应主动报备。相关学生申请推免生资格时也应主动向所在学院报备。对未按回避制度规定报备的中层及以上领导干部和推免遴选推荐工作人员，一经查实，学校将依规依纪严肃处理；对未按回避制度规定报备且影响推免遴选推荐工作过程和结果公平公正的学生，将取消其推免生资格。</w:t>
      </w:r>
    </w:p>
    <w:p>
      <w:r>
        <w:t>3.在全校组织开展推荐工作期间，本科生院原则上不办理应届毕业生出国成绩和学历学位证明。年度推免招生工作结束后，学生已申请推免资格并进行了网上报名和复试，但未落实接收单位的，其推免生资格作废；推免接收工作结束后，方可办理出国成绩单。已落实接收单位的推免生，不得再申请出国留学、参加就业派遣等，不得办理出国成绩单及学籍、学历证明等。</w:t>
      </w:r>
    </w:p>
    <w:p>
      <w:r>
        <w:t>4.在学校公示推免生名单期间，学生可向学校提交书面申请放弃推免资格，申请书须由学生本人及学院负责人签字，并加盖学院公章；放弃名额由公示名单中候补学生依次递补。</w:t>
      </w:r>
    </w:p>
    <w:p>
      <w:r>
        <w:t>5.公示期结束后，学校不再受理放弃推免资格的申请。对于私自放弃推免资格者，学校将在相关学生个人档案中注明其不诚信记录。</w:t>
      </w:r>
    </w:p>
    <w:p>
      <w:r>
        <w:t>6.对于未达到学校本科应届毕业学年毕业及学士学位授予等要求、或拟录取后至本科毕业前发生严重违法违规违纪行为的推免生，其推免生资格取消。</w:t>
      </w:r>
    </w:p>
    <w:p>
      <w:r>
        <w:t>7.学院推免工作按照教育部及学校文件规定执行，如本细则发布后，教育部及学校出台推免最新文件，则按教育部及学校最新文件规定执行。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