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【人才培养】2018院系推免细则_天文</w:t>
      </w:r>
    </w:p>
    <w:p>
      <w:r>
        <w:t>本科生事务指南</w:t>
      </w:r>
    </w:p>
    <w:p>
      <w:r>
        <w:t>发布时间：2019-06-04</w:t>
      </w:r>
    </w:p>
    <w:p>
      <w:r>
        <w:t>浏览次数：3</w:t>
      </w:r>
    </w:p>
    <w:p>
      <w:r>
        <w:t>2018院系推免细则_天文</w:t>
      </w:r>
    </w:p>
    <w:p>
      <w:r>
        <w:t>返回列表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上一篇：【人才培养】南京大学天文与空间科学学院优秀毕业生奖学金评选办法</w:t>
            </w:r>
          </w:p>
        </w:tc>
      </w:tr>
      <w:tr>
        <w:tc>
          <w:tcPr>
            <w:tcW w:type="dxa" w:w="8640"/>
          </w:tcPr>
          <w:p>
            <w:r>
              <w:t>下一篇：【人才培养】2018年度南京大学“基础学科拔尖学生培养试验计划”奖学金实施细则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