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动物科技学院推荐免试研究生工作方案</w:t>
      </w:r>
    </w:p>
    <w:p>
      <w:r>
        <w:t>根据《南京农业大学关于做好推荐优秀应届本科毕业生免试攻读研究生工作的通知》等文件精神，现将动物科技学院本科生推荐免试研究生工作方案公布如下：</w:t>
      </w:r>
    </w:p>
    <w:p>
      <w:r>
        <w:t>一、基本条件</w:t>
      </w:r>
    </w:p>
    <w:p>
      <w:r>
        <w:t>1.拥护中国共产党的领导，愿为中国式现代化建设服务，政治立场坚定，思想品德良好，遵纪守法，诚实守信，勤奋好学，具有较强的学习、研究和独立工作能力，各学年综合测评优良。</w:t>
      </w:r>
    </w:p>
    <w:p>
      <w:r>
        <w:t>2. GPA不低于3.0。</w:t>
      </w:r>
    </w:p>
    <w:p>
      <w:r>
        <w:t>3.必修课不及格记录不超过一门，且参加推免时经补考或一次重修（仅限该课程无补考仅可重修）已通过课程考核。</w:t>
      </w:r>
    </w:p>
    <w:p>
      <w:r>
        <w:t>4 .英语CET - 4级460分及以上，或CET - 6级426分及以上，或托福80分及以上，或GRE 310分及以上，或雅思（A类）6分及以上。</w:t>
      </w:r>
    </w:p>
    <w:p>
      <w:r>
        <w:t>5 .达到大学生体育锻炼标准，身体健康。</w:t>
      </w:r>
    </w:p>
    <w:p>
      <w:r>
        <w:t>6 .未有任何尚在期限内的处分，无任何考试违规违纪和学术不端记录。</w:t>
      </w:r>
    </w:p>
    <w:p>
      <w:r>
        <w:t>7.修满本专业人才培养方案中“学术研究类课程组”全部学分，在素质拓展选修课里选修1学分教授开放课程。</w:t>
      </w:r>
    </w:p>
    <w:p>
      <w:r>
        <w:t>二、综合考核评价方案</w:t>
      </w:r>
    </w:p>
    <w:p>
      <w:r>
        <w:t>1.学院按照提交《推荐免试生申请表》学生的综合成绩进行排名，综合成绩包括学习成绩（GPA折算分）和其它综合素质得分（最高不超过25分）两部分。即</w:t>
      </w:r>
    </w:p>
    <w:p>
      <w:r>
        <w:t>综合成绩= GPA折算分+其它综合素质得分</w:t>
      </w:r>
    </w:p>
    <w:p>
      <w:r>
        <w:t>2.学习成绩（GPA折算分）按照如下公式进行折算</w:t>
      </w:r>
    </w:p>
    <w:p>
      <w:r>
        <w:t>G PA折算分：GPA乘以7 5，再除以Z。其中“ Z ”以各专业本届实际G PA最高值计</w:t>
      </w:r>
    </w:p>
    <w:p>
      <w:r>
        <w:t>3.其它综合素质得分按照如下项目进行累加，但最高不超过25分。</w:t>
      </w:r>
    </w:p>
    <w:p>
      <w:r>
        <w:t>（1）课外学术科技竞赛（含英语、数学、计算机、学术科技作品等）获奖主要参照《南京农业大学本科生创新拓展学分实施办法》中南京农业大学大学生学术科技竞赛认定项目（限学生负责人或者第一指导教师为南京农业大学动物科技学院），分一类、二类、三类、四类（见附表1）。一类竞赛一等奖加10分，二等奖加8分，三等奖加6分；二类竞赛一等奖加6分，二等奖加4分，三等奖加3分；三类竞赛一等奖加3分，二等奖加2分；四类竞赛一等奖加2分。如有特等奖，则按照一等奖认定加分。同类科目或同一项目的各级获奖不兼得，取高分值一项计分。团体奖的认定及计分规则：四类竞赛只认排名第1人；三类竞赛认定排名前2人；二类竞赛认定排名前3人；一类竞赛认定排名前4人，获得一类竞赛的一等奖及以上者认定排名前5人。如认定排名第4人或第5人，则实行排名的计分折算（排名第4人按照团队竞赛获奖得分的0.7计分；排名第5人按照团队竞赛获奖的0.5计分）。</w:t>
      </w:r>
    </w:p>
    <w:p>
      <w:r>
        <w:t>（2）学生在学期间主持国家级或省级SRT项目结题优秀加4分，参加加1.5分，主持国家级、省级SRT项目结题合格加3分，参加加1分；主持校级SRT项目结题优秀加3分，参加加1分，主持校级SRT项目结题合格加2分，参加加0.5分。</w:t>
      </w:r>
    </w:p>
    <w:p>
      <w:r>
        <w:t>（3）以独立作者或第一作者身份发表SCI论文加8分，共同第1作者平分相应分值；在学术期刊上发表与本专业相关学术论文（限独立作者或第一作者且第一署名单位为南京农业大学）：学校认定的核心期刊一、二、三类分别每篇加6分、4分、2分；其他正式出版的期刊每篇加1分。核心期刊的认定参照《南京农业大学高质量论文期刊目录》。此模块取最高一项得分，不累加。</w:t>
      </w:r>
    </w:p>
    <w:p>
      <w:r>
        <w:t>（4）托福80分及以上，或GRE 3 10分及以上，或雅思6分及以上加2分，不累计加分。</w:t>
      </w:r>
    </w:p>
    <w:p>
      <w:r>
        <w:t>（5）获得江苏省三好学生称号的加4分；获得江苏省优秀共青团员的加2分；获得学校最具影响力学生、青年五四奖章称号加2分。</w:t>
      </w:r>
    </w:p>
    <w:p>
      <w:r>
        <w:t>（6）获得江苏省优秀学干、优秀团干等奖励加3分；校级优秀学生干部、校级优秀团干部奖励加1分。同类奖励不兼得，取高分值一项，本项满分3分。</w:t>
      </w:r>
    </w:p>
    <w:p>
      <w:r>
        <w:t>（7）获省级社会实践优秀调研报告，社会实践先进个人加2分；校级社会实践优秀调研报告，社会实践先进个人，省优秀志愿者加1分。同类奖励不兼得，取高分值一项。</w:t>
      </w:r>
    </w:p>
    <w:p>
      <w:r>
        <w:t>（8）文化、艺术、体育等各类竞赛（竞赛认定项目见《南京农业大学本科生创新拓展学分实施办法》）获省级二等奖（或第二名）及以上奖励者加3分；校级一等奖（或第一名）奖励者加1分。多次获奖不累加，本项满分3分。</w:t>
      </w:r>
    </w:p>
    <w:p>
      <w:r>
        <w:t>（9）在校期间参军入伍服兵役者加2分，到国际组织实习者或者三个月及以上赴境外留学者，加2分。</w:t>
      </w:r>
    </w:p>
    <w:p>
      <w:r>
        <w:t>三、推荐名额</w:t>
      </w:r>
    </w:p>
    <w:p>
      <w:r>
        <w:t>1.所有推免生均享有依据招生政策自主选择报考招生单位和专业的权利，所有推荐名额（除有特殊政策要求的专项计划外）均可向其他招生单位推荐。</w:t>
      </w:r>
    </w:p>
    <w:p>
      <w:r>
        <w:t>2. “研究生支教团”等专项推免计划，由相关单位按照工作要求组织遴选。在推免计划遴选公示期间，学生可放弃计划资格；公示期结束后，学生若放弃，不再给予其他途径的推免资格。</w:t>
      </w:r>
    </w:p>
    <w:p>
      <w:r>
        <w:t>3 .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不占用学院名额。</w:t>
      </w:r>
    </w:p>
    <w:p>
      <w:r>
        <w:t>4 .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本方案最终解释权归动物科技学院推荐免试研究生工作小组，自2025级本科生推荐免试研究生工作开始实施。</w:t>
      </w:r>
    </w:p>
    <w:p>
      <w:r>
        <w:t>南京农业大学动物科技学院</w:t>
      </w:r>
    </w:p>
    <w:p>
      <w:r>
        <w:t>2025年9月12日</w:t>
      </w:r>
    </w:p>
    <w:p>
      <w:r>
        <w:t>附表1：</w:t>
      </w:r>
    </w:p>
    <w:tbl>
      <w:tblPr>
        <w:tblStyle w:val="TableGrid"/>
        <w:tblW w:type="auto" w:w="0"/>
        <w:tblLook w:firstColumn="1" w:firstRow="1" w:lastColumn="0" w:lastRow="0" w:noHBand="0" w:noVBand="1" w:val="04A0"/>
      </w:tblPr>
      <w:tblGrid>
        <w:gridCol w:w="4320"/>
        <w:gridCol w:w="4320"/>
      </w:tblGrid>
      <w:tr>
        <w:tc>
          <w:tcPr>
            <w:tcW w:type="dxa" w:w="4320"/>
          </w:tcPr>
          <w:p>
            <w:r>
              <w:t>课外学术科技竞赛等级分类及认定标准</w:t>
            </w:r>
          </w:p>
        </w:tc>
        <w:tc>
          <w:tcPr>
            <w:tcW w:type="dxa" w:w="4320"/>
          </w:tcPr>
          <w:p/>
        </w:tc>
      </w:tr>
      <w:tr>
        <w:tc>
          <w:tcPr>
            <w:tcW w:type="dxa" w:w="4320"/>
          </w:tcPr>
          <w:p>
            <w:r>
              <w:t>竞赛等级</w:t>
            </w:r>
          </w:p>
        </w:tc>
        <w:tc>
          <w:tcPr>
            <w:tcW w:type="dxa" w:w="4320"/>
          </w:tcPr>
          <w:p>
            <w:r>
              <w:t>认定标准</w:t>
            </w:r>
          </w:p>
        </w:tc>
      </w:tr>
      <w:tr>
        <w:tc>
          <w:tcPr>
            <w:tcW w:type="dxa" w:w="4320"/>
          </w:tcPr>
          <w:p>
            <w:r>
              <w:t>一类</w:t>
            </w:r>
          </w:p>
        </w:tc>
        <w:tc>
          <w:tcPr>
            <w:tcW w:type="dxa" w:w="4320"/>
          </w:tcPr>
          <w:p>
            <w:r>
              <w:t>中国国际大学生创新大赛。“挑战杯”全国大学生课外学术科技作品竞赛。“挑战杯”中国大学生创业计划竞赛。“创青春”中国青年创新创业大赛。全国大学生职业规划大赛。</w:t>
            </w:r>
          </w:p>
        </w:tc>
      </w:tr>
      <w:tr>
        <w:tc>
          <w:tcPr>
            <w:tcW w:type="dxa" w:w="4320"/>
          </w:tcPr>
          <w:p>
            <w:r>
              <w:t>二类</w:t>
            </w:r>
          </w:p>
        </w:tc>
        <w:tc>
          <w:tcPr>
            <w:tcW w:type="dxa" w:w="4320"/>
          </w:tcPr>
          <w:p>
            <w:r>
              <w:t>1.中国高等教育学会高校竞赛评估与管理体系研究工作组发布全国普通高校大学生竞赛项目名单（名单每年动态调整，以当年发布为准）。2.部分国际赛事：国际遗传工程的及其设计竞赛（iGEM）、IFAMA国际学生案例竞赛、美国大学生数学建模竞赛、国际定向进化大赛。3.一类竞赛的省级选拔赛。</w:t>
            </w:r>
          </w:p>
        </w:tc>
      </w:tr>
      <w:tr>
        <w:tc>
          <w:tcPr>
            <w:tcW w:type="dxa" w:w="4320"/>
          </w:tcPr>
          <w:p>
            <w:r>
              <w:t>三类</w:t>
            </w:r>
          </w:p>
        </w:tc>
        <w:tc>
          <w:tcPr>
            <w:tcW w:type="dxa" w:w="4320"/>
          </w:tcPr>
          <w:p>
            <w:r>
              <w:t>1.二类竞赛中1、2项比赛的省级赛事。2.江苏省教育学会发布全省普通高校本专科生学科竞赛省级赛事认定名单及省级赛事培育认定名单（名单每年动态调整，以当年发布为准）。3.全国动物科学技能大赛。4.一类竞赛的校级选拔赛。</w:t>
            </w:r>
          </w:p>
        </w:tc>
      </w:tr>
      <w:tr>
        <w:tc>
          <w:tcPr>
            <w:tcW w:type="dxa" w:w="4320"/>
          </w:tcPr>
          <w:p>
            <w:r>
              <w:t>四类</w:t>
            </w:r>
          </w:p>
        </w:tc>
        <w:tc>
          <w:tcPr>
            <w:tcW w:type="dxa" w:w="4320"/>
          </w:tcPr>
          <w:p>
            <w:r>
              <w:t>学校及学校职能部门组织开展的课外学术科技作品竞赛。</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