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人文与艺术学院关于推荐2024年优秀应届本科毕业生免试攻读研究生实施办法</w:t>
      </w:r>
    </w:p>
    <w:p>
      <w:r>
        <w:t>（2023年9月19日由学院推荐免试研究生工作领导小组讨论通过）</w:t>
      </w:r>
    </w:p>
    <w:p>
      <w:r>
        <w:t>根据学校有关推荐本科毕业生免试攻读研究生的通知精神，现将我院推荐2024年优秀应届本科毕业生免试攻读研究生工作具体安排如下：</w:t>
      </w:r>
    </w:p>
    <w:p>
      <w:r>
        <w:t>一、推荐免试研究生工作领导小组</w:t>
      </w:r>
    </w:p>
    <w:p>
      <w:r>
        <w:t>组长：方跃平史修永</w:t>
      </w:r>
    </w:p>
    <w:p>
      <w:r>
        <w:t>副组长：刘振汤道路刘宁</w:t>
      </w:r>
    </w:p>
    <w:p>
      <w:r>
        <w:t>成员：刘超捷冯仰操冯浩曹洪洋范潇文</w:t>
      </w:r>
    </w:p>
    <w:p>
      <w:r>
        <w:t>秘书：王艳华任世存郭丽婉</w:t>
      </w:r>
    </w:p>
    <w:p>
      <w:r>
        <w:t>二、推荐免试研究生的条件</w:t>
      </w:r>
    </w:p>
    <w:p>
      <w:r>
        <w:t>（一）推荐免试硕士研究生的基本条件、排序原则等按照《中国矿业大学免试硕士研究生推荐办法（修订）》（以下简称推荐办法）执行。</w:t>
      </w:r>
    </w:p>
    <w:p>
      <w:r>
        <w:t>（二）其他类型推免生条件</w:t>
      </w:r>
    </w:p>
    <w:p>
      <w:r>
        <w:t>1．直博生和本硕博连读生录取指标由学校单列。</w:t>
      </w:r>
    </w:p>
    <w:p>
      <w:r>
        <w:t>2．研究生支教团录取指标由学校单列，校团委负责选拔推荐。</w:t>
      </w:r>
    </w:p>
    <w:p>
      <w:r>
        <w:t>（三）普通类推免生、直博生、本硕博连读生和研究生支教团不可兼报，兼报学生将被取消推荐免试硕士研究生资格。</w:t>
      </w:r>
    </w:p>
    <w:p>
      <w:r>
        <w:t>三、推荐免试研究生名额及排序原则</w:t>
      </w:r>
    </w:p>
    <w:p>
      <w:r>
        <w:t>（一）推荐免试名额计算与分配</w:t>
      </w:r>
    </w:p>
    <w:p>
      <w:r>
        <w:t>1．我院2024年推荐免试硕士研究生名额为33名，按照下表名额分配至各专业。</w:t>
      </w:r>
    </w:p>
    <w:p>
      <w:r>
        <w:t>2．候补名额按照各专业拟推荐人数的20%分配。</w:t>
      </w:r>
    </w:p>
    <w:p>
      <w:r>
        <w:t>3．若出现学校增补指标等增加推免人数的情况，则按照拟推荐人数计算值的余数由小到大依次分配增补指标。</w:t>
      </w:r>
    </w:p>
    <w:p>
      <w:r>
        <w:t>各本科专业推荐免试名额分配如下：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专业名称</w:t>
            </w:r>
          </w:p>
        </w:tc>
        <w:tc>
          <w:tcPr>
            <w:tcW w:type="dxa" w:w="2160"/>
          </w:tcPr>
          <w:p>
            <w:r>
              <w:t>专业人数</w:t>
            </w:r>
          </w:p>
        </w:tc>
        <w:tc>
          <w:tcPr>
            <w:tcW w:type="dxa" w:w="2160"/>
          </w:tcPr>
          <w:p>
            <w:r>
              <w:t>推荐人数</w:t>
            </w:r>
          </w:p>
        </w:tc>
        <w:tc>
          <w:tcPr>
            <w:tcW w:type="dxa" w:w="2160"/>
          </w:tcPr>
          <w:p>
            <w:r>
              <w:t>候补人数</w:t>
            </w:r>
          </w:p>
        </w:tc>
      </w:tr>
      <w:tr>
        <w:tc>
          <w:tcPr>
            <w:tcW w:type="dxa" w:w="2160"/>
          </w:tcPr>
          <w:p>
            <w:r>
              <w:t>汉语言文学</w:t>
            </w:r>
          </w:p>
        </w:tc>
        <w:tc>
          <w:tcPr>
            <w:tcW w:type="dxa" w:w="2160"/>
          </w:tcPr>
          <w:p>
            <w:r>
              <w:t>77</w:t>
            </w:r>
          </w:p>
        </w:tc>
        <w:tc>
          <w:tcPr>
            <w:tcW w:type="dxa" w:w="2160"/>
          </w:tcPr>
          <w:p>
            <w:r>
              <w:t>10</w:t>
            </w:r>
          </w:p>
        </w:tc>
        <w:tc>
          <w:tcPr>
            <w:tcW w:type="dxa" w:w="2160"/>
          </w:tcPr>
          <w:p>
            <w:r>
              <w:t>2</w:t>
            </w:r>
          </w:p>
        </w:tc>
      </w:tr>
      <w:tr>
        <w:tc>
          <w:tcPr>
            <w:tcW w:type="dxa" w:w="2160"/>
          </w:tcPr>
          <w:p>
            <w:r>
              <w:t>法学</w:t>
            </w:r>
          </w:p>
        </w:tc>
        <w:tc>
          <w:tcPr>
            <w:tcW w:type="dxa" w:w="2160"/>
          </w:tcPr>
          <w:p>
            <w:r>
              <w:t>112</w:t>
            </w:r>
          </w:p>
        </w:tc>
        <w:tc>
          <w:tcPr>
            <w:tcW w:type="dxa" w:w="2160"/>
          </w:tcPr>
          <w:p>
            <w:r>
              <w:t>15</w:t>
            </w:r>
          </w:p>
        </w:tc>
        <w:tc>
          <w:tcPr>
            <w:tcW w:type="dxa" w:w="2160"/>
          </w:tcPr>
          <w:p>
            <w:r>
              <w:t>3</w:t>
            </w:r>
          </w:p>
        </w:tc>
      </w:tr>
      <w:tr>
        <w:tc>
          <w:tcPr>
            <w:tcW w:type="dxa" w:w="2160"/>
          </w:tcPr>
          <w:p>
            <w:r>
              <w:t>广播电视学</w:t>
            </w:r>
          </w:p>
        </w:tc>
        <w:tc>
          <w:tcPr>
            <w:tcW w:type="dxa" w:w="2160"/>
          </w:tcPr>
          <w:p>
            <w:r>
              <w:t>31</w:t>
            </w:r>
          </w:p>
        </w:tc>
        <w:tc>
          <w:tcPr>
            <w:tcW w:type="dxa" w:w="2160"/>
          </w:tcPr>
          <w:p>
            <w:r>
              <w:t>4</w:t>
            </w:r>
          </w:p>
        </w:tc>
        <w:tc>
          <w:tcPr>
            <w:tcW w:type="dxa" w:w="2160"/>
          </w:tcPr>
          <w:p>
            <w:r>
              <w:t>1</w:t>
            </w:r>
          </w:p>
        </w:tc>
      </w:tr>
      <w:tr>
        <w:tc>
          <w:tcPr>
            <w:tcW w:type="dxa" w:w="2160"/>
          </w:tcPr>
          <w:p>
            <w:r>
              <w:t>音乐学</w:t>
            </w:r>
          </w:p>
        </w:tc>
        <w:tc>
          <w:tcPr>
            <w:tcW w:type="dxa" w:w="2160"/>
          </w:tcPr>
          <w:p>
            <w:r>
              <w:t>28</w:t>
            </w:r>
          </w:p>
        </w:tc>
        <w:tc>
          <w:tcPr>
            <w:tcW w:type="dxa" w:w="2160"/>
          </w:tcPr>
          <w:p>
            <w:r>
              <w:t>4</w:t>
            </w:r>
          </w:p>
        </w:tc>
        <w:tc>
          <w:tcPr>
            <w:tcW w:type="dxa" w:w="2160"/>
          </w:tcPr>
          <w:p>
            <w:r>
              <w:t>0</w:t>
            </w:r>
          </w:p>
        </w:tc>
      </w:tr>
      <w:tr>
        <w:tc>
          <w:tcPr>
            <w:tcW w:type="dxa" w:w="2160"/>
          </w:tcPr>
          <w:p>
            <w:r>
              <w:t>合计</w:t>
            </w:r>
          </w:p>
        </w:tc>
        <w:tc>
          <w:tcPr>
            <w:tcW w:type="dxa" w:w="2160"/>
          </w:tcPr>
          <w:p>
            <w:r>
              <w:t>248</w:t>
            </w:r>
          </w:p>
        </w:tc>
        <w:tc>
          <w:tcPr>
            <w:tcW w:type="dxa" w:w="2160"/>
          </w:tcPr>
          <w:p>
            <w:r>
              <w:t>33</w:t>
            </w:r>
          </w:p>
        </w:tc>
        <w:tc>
          <w:tcPr>
            <w:tcW w:type="dxa" w:w="2160"/>
          </w:tcPr>
          <w:p>
            <w:r>
              <w:t>6</w:t>
            </w:r>
          </w:p>
        </w:tc>
      </w:tr>
    </w:tbl>
    <w:p>
      <w:r>
        <w:t>（二）排序原则</w:t>
      </w:r>
    </w:p>
    <w:p>
      <w:r>
        <w:t>1．成绩排序的课程为学生所修读专业（含转出专业）的培养计划的全部课程（含各类选修课程，不含拓展课程组课程）。所修课程涉及到全国硕士研究生统一招生考试所规定的公共科目，按1.2的权重参与计算。通识教育公选课以所修公选课的平均分参与计算（总学分为10学分）。</w:t>
      </w:r>
    </w:p>
    <w:p>
      <w:r>
        <w:t>2．推荐免试硕士研究生的人选，按加权平均成绩（如首次考试不及格，补考、重新学习通过，成绩按60分记）进行专业（专业方向）排序。序号相同者，按国家大学英语六级、四级成绩依次进行排序。属名额调剂（推荐人数不足需降低学习成绩要求）的学生单独排序，在正常排序名单之后按序列出并予以注明。</w:t>
      </w:r>
    </w:p>
    <w:p>
      <w:r>
        <w:t>3．若推荐免试名单中有学生放弃推免资格，由同一专业的候补名额依次递补。</w:t>
      </w:r>
    </w:p>
    <w:p>
      <w:r>
        <w:t>四、被确定为推荐免试硕士研究生后，有下列情况之一者，取消推荐免试硕士研究生资格并通报接收单位：</w:t>
      </w:r>
    </w:p>
    <w:p>
      <w:r>
        <w:t>1．违反校纪校规，受到学校纪律处分，或被追究法律责任者；</w:t>
      </w:r>
    </w:p>
    <w:p>
      <w:r>
        <w:t>2．修读的课程出现不及格者；</w:t>
      </w:r>
    </w:p>
    <w:p>
      <w:r>
        <w:t>3．专业综合能力训练（毕业设计、毕业论文等）成绩达不到“良好”者；</w:t>
      </w:r>
    </w:p>
    <w:p>
      <w:r>
        <w:t>4．推免材料弄虚作假者；</w:t>
      </w:r>
    </w:p>
    <w:p>
      <w:r>
        <w:t>5．其他违背推荐条件者。</w:t>
      </w:r>
    </w:p>
    <w:p>
      <w:r>
        <w:t>五、推荐免试硕士研究生工作程序及时间安排</w:t>
      </w:r>
    </w:p>
    <w:p>
      <w:r>
        <w:t>1. 2023年9月19 — 22日，向学生传达学校推荐免试硕士研究生工作精神；（责任人：刘振刘宁）</w:t>
      </w:r>
    </w:p>
    <w:p>
      <w:r>
        <w:t>2. 2023年9月19日12:00前，制定我院2024年推荐免试研究生工作实施细则并报教务部审核，教务部审核通过后在学院网站公示；（责任人：刘振刘宁）</w:t>
      </w:r>
    </w:p>
    <w:p>
      <w:r>
        <w:t>3．2023年9月21日上午10:00前，学生按照申报类型填写并提交纸质版《中国矿业大学推荐免试硕士学位研究生资格申请表》，并将相关电子档材料发送至邮箱：1789663792 @qq.com；（责任人：郭丽婉）</w:t>
      </w:r>
    </w:p>
    <w:p>
      <w:r>
        <w:t>4．2023年9月22日上午12:00前，学院推荐免试研究生工作领导小组进行资格审查，确定初选名单，由学院公示初选名单；（责任人：刘振刘宁）</w:t>
      </w:r>
    </w:p>
    <w:p>
      <w:r>
        <w:t>5. 2023年9月22日上午12:00前，在公示各类推荐名单的同时将《2024年中国矿业大学推荐免试硕士研究生基本情况表及数据库》和电子档报教务部，经校推免工作领导小组审核同意后，由教务部正式向学生进行公示。（责任人：王艳华）</w:t>
      </w:r>
    </w:p>
    <w:p>
      <w:r>
        <w:t>六、其他</w:t>
      </w:r>
    </w:p>
    <w:p>
      <w:r>
        <w:t>1．获得推免资格后，学生因个人原因放弃保研资格导致本专业保研名额损失的，学院将取消该生参加评奖学金、优秀毕业生等各种奖励荣誉的评选资格，并承担相应责任；</w:t>
      </w:r>
    </w:p>
    <w:p>
      <w:r>
        <w:t>2．其他未尽事项按照《关于做好2024年推荐优秀应届本科毕业生免试攻读研究生工作的通知》执行，本办法由人文与艺术学院推荐免试研究生工作领导小组负责解释。</w:t>
      </w:r>
    </w:p>
    <w:p>
      <w:r>
        <w:t>人文与艺术学院</w:t>
      </w:r>
    </w:p>
    <w:p>
      <w:r>
        <w:t>2023年9月19日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